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Calibri" w:cs="Calibri" w:eastAsia="Calibri" w:hAnsi="Calibri"/>
          <w:b/>
          <w:bCs/>
          <w:color w:val="1F4E79"/>
          <w:sz w:val="44"/>
          <w:szCs w:val="44"/>
        </w:rPr>
        <w:t xml:space="preserve">Tareas de la responsable de SEO</w:t>
      </w:r>
    </w:p>
    <w:p>
      <w:pPr>
        <w:spacing w:after="160"/>
      </w:pPr>
      <w:r>
        <w:rPr>
          <w:rFonts w:ascii="Calibri" w:cs="Calibri" w:eastAsia="Calibri" w:hAnsi="Calibri"/>
          <w:color w:val="595959"/>
          <w:sz w:val="24"/>
          <w:szCs w:val="24"/>
        </w:rPr>
        <w:t xml:space="preserve">Plan de trabajo web Robotines · robotines.com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Responsable: </w:t>
      </w:r>
      <w:r>
        <w:rPr>
          <w:rFonts w:ascii="Calibri" w:cs="Calibri" w:eastAsia="Calibri" w:hAnsi="Calibri"/>
          <w:sz w:val="22"/>
          <w:szCs w:val="22"/>
        </w:rPr>
        <w:t xml:space="preserve">Responsable de SEO (SEO on page: textos, títulos, descripciones, encabezados, imágenes y enlaces dentro de los textos)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Periodo: </w:t>
      </w:r>
      <w:r>
        <w:rPr>
          <w:rFonts w:ascii="Calibri" w:cs="Calibri" w:eastAsia="Calibri" w:hAnsi="Calibri"/>
          <w:sz w:val="22"/>
          <w:szCs w:val="22"/>
        </w:rPr>
        <w:t xml:space="preserve">12 de octubre a 31 de diciembre de 2026 (12 semanas)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Fecha del documento: </w:t>
      </w:r>
      <w:r>
        <w:rPr>
          <w:rFonts w:ascii="Calibri" w:cs="Calibri" w:eastAsia="Calibri" w:hAnsi="Calibri"/>
          <w:sz w:val="22"/>
          <w:szCs w:val="22"/>
        </w:rPr>
        <w:t xml:space="preserve">9 de octubre de 2026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Origen: </w:t>
      </w:r>
      <w:r>
        <w:rPr>
          <w:rFonts w:ascii="Calibri" w:cs="Calibri" w:eastAsia="Calibri" w:hAnsi="Calibri"/>
          <w:sz w:val="22"/>
          <w:szCs w:val="22"/>
        </w:rPr>
        <w:t xml:space="preserve">Auditoría SEO de INFOSAMA del 5 de octubre de 2026 (nota 58/100)</w:t>
      </w:r>
    </w:p>
    <w:p>
      <w:pPr>
        <w:pBdr>
          <w:bottom w:val="single" w:color="1F4E79" w:sz="8" w:space="8"/>
        </w:pBdr>
        <w:spacing w:after="240"/>
      </w:pPr>
    </w:p>
    <w:p>
      <w:pPr>
        <w:spacing w:after="200"/>
      </w:pPr>
      <w:r>
        <w:rPr>
          <w:rFonts w:ascii="Calibri" w:cs="Calibri" w:eastAsia="Calibri" w:hAnsi="Calibri"/>
          <w:sz w:val="22"/>
          <w:szCs w:val="22"/>
        </w:rPr>
        <w:t xml:space="preserve">SEO on page de las páginas de robotines.com, trabajando desde el panel de PrestaShop. Todo lo técnico (Search Console, rastreo, velocidad, filtros, Analytics, desarrollador), el contacto con el cliente y los enlaces externos los lleva Alejandro: él pasa a SEO lo que necesita y recoge sus entregas.</w:t>
      </w:r>
    </w:p>
    <w:p>
      <w:pPr>
        <w:pStyle w:val="Heading1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Resumen de tareas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10 tareas en orden de ejecución. La columna Estado se puede actualizar a mano.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4106"/>
        <w:gridCol w:w="1100"/>
        <w:gridCol w:w="2200"/>
        <w:gridCol w:w="1400"/>
      </w:tblGrid>
      <w:tr>
        <w:trPr>
          <w:cantSplit/>
          <w:tblHeader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Nº</w:t>
            </w:r>
          </w:p>
        </w:tc>
        <w:tc>
          <w:tcPr>
            <w:tcW w:type="dxa" w:w="41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Tarea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Prioridad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Fechas (semana)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Estado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</w:t>
            </w:r>
          </w:p>
        </w:tc>
        <w:tc>
          <w:tcPr>
            <w:tcW w:type="dxa" w:w="41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Foto de partida de las páginas a optimizar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CE8C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Alta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 oct – 16 oct (1)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Pendiente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</w:t>
            </w:r>
          </w:p>
        </w:tc>
        <w:tc>
          <w:tcPr>
            <w:tcW w:type="dxa" w:w="41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Corregir enlaces rotos en textos y Aviso legal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CE8C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Alta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19 oct – 30 oct (2-3)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Pendiente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</w:t>
            </w:r>
          </w:p>
        </w:tc>
        <w:tc>
          <w:tcPr>
            <w:tcW w:type="dxa" w:w="41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Títulos y descripciones de páginas con muchas apariciones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CE8C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Alta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26 oct – 13 nov (3-5)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Pendiente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</w:t>
            </w:r>
          </w:p>
        </w:tc>
        <w:tc>
          <w:tcPr>
            <w:tcW w:type="dxa" w:w="41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Descripciones vacías, textos alternativos y emojis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Media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 nov – 13 nov (4-5)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Pendiente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5</w:t>
            </w:r>
          </w:p>
        </w:tc>
        <w:tc>
          <w:tcPr>
            <w:tcW w:type="dxa" w:w="41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Textos de Envíos gratuitos y Devoluciones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Media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 nov – 6 nov (4)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Pendiente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6</w:t>
            </w:r>
          </w:p>
        </w:tc>
        <w:tc>
          <w:tcPr>
            <w:tcW w:type="dxa" w:w="41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Resolver las páginas que compiten entre sí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Media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16 nov – 27 nov (6-7)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Pendiente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7</w:t>
            </w:r>
          </w:p>
        </w:tc>
        <w:tc>
          <w:tcPr>
            <w:tcW w:type="dxa" w:w="41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Recuperar «super deformed» y SD Gundam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CE8C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Alta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16 nov – 4 dic (6-8)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Pendiente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</w:t>
            </w:r>
          </w:p>
        </w:tc>
        <w:tc>
          <w:tcPr>
            <w:tcW w:type="dxa" w:w="41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Palabras cerca de la primera página, barcos y trenes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CE8C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Alta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23 nov – 11 dic (7-9)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Pendiente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9</w:t>
            </w:r>
          </w:p>
        </w:tc>
        <w:tc>
          <w:tcPr>
            <w:tcW w:type="dxa" w:w="41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Tres guías para el blog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Media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30 nov – 25 dic (8-11)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Pendiente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</w:t>
            </w:r>
          </w:p>
        </w:tc>
        <w:tc>
          <w:tcPr>
            <w:tcW w:type="dxa" w:w="41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Registro de cambios y resultados on page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Media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30 nov – 31 dic (8-12) y continuo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Pendiente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Tareas en detalle</w:t>
      </w:r>
    </w:p>
    <w:p>
      <w:pPr>
        <w:pStyle w:val="Heading2"/>
        <w:keepNext/>
        <w:spacing w:after="60" w:before="28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1. Foto de partida de las páginas a optimizar</w:t>
      </w:r>
    </w:p>
    <w:p>
      <w:pPr>
        <w:keepNext/>
        <w:spacing w:after="80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Prioridad Alta  ·  Semana 1 (12 oct – 16 oct)  ·  Impacto Medio  ·  Esfuerzo Bajo</w:t>
      </w:r>
    </w:p>
    <w:p>
      <w:pPr>
        <w:keepNext/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Por qué: </w:t>
      </w:r>
      <w:r>
        <w:rPr>
          <w:rFonts w:ascii="Calibri" w:cs="Calibri" w:eastAsia="Calibri" w:hAnsi="Calibri"/>
          <w:sz w:val="22"/>
          <w:szCs w:val="22"/>
        </w:rPr>
        <w:t xml:space="preserve">Sin datos de partida no se puede demostrar el efecto de los cambios on page.</w:t>
      </w:r>
    </w:p>
    <w:p>
      <w:pPr>
        <w:keepNext/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Pasos: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Exportar de Search Console las 50 páginas con más apariciones: clics, apariciones, % de clic y posición.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Guardar su título, meta description y H1 actuales.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Crear un registro de cambios con la fecha de cada modificación.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Hecho cuando: </w:t>
      </w:r>
      <w:r>
        <w:rPr>
          <w:rFonts w:ascii="Calibri" w:cs="Calibri" w:eastAsia="Calibri" w:hAnsi="Calibri"/>
          <w:sz w:val="22"/>
          <w:szCs w:val="22"/>
        </w:rPr>
        <w:t xml:space="preserve">Hoja base creada.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Depende de / coordinar con: </w:t>
      </w:r>
      <w:r>
        <w:rPr>
          <w:rFonts w:ascii="Calibri" w:cs="Calibri" w:eastAsia="Calibri" w:hAnsi="Calibri"/>
          <w:sz w:val="22"/>
          <w:szCs w:val="22"/>
        </w:rPr>
        <w:t xml:space="preserve">Ninguna.</w:t>
      </w:r>
    </w:p>
    <w:p>
      <w:pPr>
        <w:pStyle w:val="Heading2"/>
        <w:keepNext/>
        <w:spacing w:after="60" w:before="28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2. Corregir enlaces rotos en textos y Aviso legal</w:t>
      </w:r>
    </w:p>
    <w:p>
      <w:pPr>
        <w:keepNext/>
        <w:spacing w:after="80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Prioridad Alta  ·  Semanas 2-3 (19 oct – 30 oct)  ·  Impacto Alto  ·  Esfuerzo Bajo</w:t>
      </w:r>
    </w:p>
    <w:p>
      <w:pPr>
        <w:keepNext/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Por qué: </w:t>
      </w:r>
      <w:r>
        <w:rPr>
          <w:rFonts w:ascii="Calibri" w:cs="Calibri" w:eastAsia="Calibri" w:hAnsi="Calibri"/>
          <w:sz w:val="22"/>
          <w:szCs w:val="22"/>
        </w:rPr>
        <w:t xml:space="preserve">Los enlaces rotos están en los textos de categorías y marcas; se corrigen desde el panel sin tocar la plantilla.</w:t>
      </w:r>
    </w:p>
    <w:p>
      <w:pPr>
        <w:keepNext/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Pasos: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Editar en Catálogo › Categorías y Marcas: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700"/>
        <w:gridCol w:w="2906"/>
      </w:tblGrid>
      <w:tr>
        <w:trPr>
          <w:cantSplit/>
          <w:tblHeader/>
        </w:trP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Página que enlaza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Enlace roto</w:t>
            </w:r>
          </w:p>
        </w:tc>
        <w:tc>
          <w:tcPr>
            <w:tcW w:type="dxa" w:w="29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Sustituir por</w:t>
            </w:r>
          </w:p>
        </w:tc>
      </w:tr>
      <w:tr>
        <w:trPr>
          <w:cantSplit/>
          <w:tblHeader w:val="false"/>
        </w:trP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Marca Mr. Hobby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/es/34-mr-hobby, /es/136-acrilicas, /es/1542-mr-color-spray</w:t>
            </w:r>
          </w:p>
        </w:tc>
        <w:tc>
          <w:tcPr>
            <w:tcW w:type="dxa" w:w="29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URL actuales</w:t>
            </w:r>
          </w:p>
        </w:tc>
      </w:tr>
      <w:tr>
        <w:trPr>
          <w:cantSplit/>
          <w:tblHeader w:val="false"/>
        </w:trP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Perfect Grade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/es/7-real-grade</w:t>
            </w:r>
          </w:p>
        </w:tc>
        <w:tc>
          <w:tcPr>
            <w:tcW w:type="dxa" w:w="29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/es/81-real-grade</w:t>
            </w:r>
          </w:p>
        </w:tc>
      </w:tr>
      <w:tr>
        <w:trPr>
          <w:cantSplit/>
          <w:tblHeader w:val="false"/>
        </w:trP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Pinturas y complementos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/es/923-tamiya</w:t>
            </w:r>
          </w:p>
        </w:tc>
        <w:tc>
          <w:tcPr>
            <w:tcW w:type="dxa" w:w="29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Marca Tamiya actual</w:t>
            </w:r>
          </w:p>
        </w:tc>
      </w:tr>
      <w:tr>
        <w:trPr>
          <w:cantSplit/>
          <w:tblHeader w:val="false"/>
        </w:trP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Batman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/es/25-pinzas, /es/606-vengadores</w:t>
            </w:r>
          </w:p>
        </w:tc>
        <w:tc>
          <w:tcPr>
            <w:tcW w:type="dxa" w:w="29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Actualizar o quitar</w:t>
            </w:r>
          </w:p>
        </w:tc>
      </w:tr>
      <w:tr>
        <w:trPr>
          <w:cantSplit/>
          <w:tblHeader w:val="false"/>
        </w:trP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Evangelion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/es/134-digimon, /es/166-macross-frontier, /es/468-full-metal-panic</w:t>
            </w:r>
          </w:p>
        </w:tc>
        <w:tc>
          <w:tcPr>
            <w:tcW w:type="dxa" w:w="29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Actualizar o quitar</w:t>
            </w:r>
          </w:p>
        </w:tc>
      </w:tr>
      <w:tr>
        <w:trPr>
          <w:cantSplit/>
          <w:tblHeader w:val="false"/>
        </w:trP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Tanques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/es/672-vitrinas</w:t>
            </w:r>
          </w:p>
        </w:tc>
        <w:tc>
          <w:tcPr>
            <w:tcW w:type="dxa" w:w="29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Actualizar o quitar</w:t>
            </w:r>
          </w:p>
        </w:tc>
      </w:tr>
      <w:tr>
        <w:trPr>
          <w:cantSplit/>
          <w:tblHeader w:val="false"/>
        </w:trP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Maquetas Mazinger Z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/es/maquetas-anime</w:t>
            </w:r>
          </w:p>
        </w:tc>
        <w:tc>
          <w:tcPr>
            <w:tcW w:type="dxa" w:w="29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Actualizar o quitar</w:t>
            </w:r>
          </w:p>
        </w:tc>
      </w:tr>
      <w:tr>
        <w:trPr>
          <w:cantSplit/>
          <w:tblHeader w:val="false"/>
        </w:trP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SD Gundam, merchandising, gashapones, videojuegos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/es/1893-maquetas-series</w:t>
            </w:r>
          </w:p>
        </w:tc>
        <w:tc>
          <w:tcPr>
            <w:tcW w:type="dxa" w:w="29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Actualizar o quitar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Aviso legal (CMS): los enlaces a Privacidad y Cookies llevan a «Reservas» y «Sugerencias»; corregirlos en es, en y fr.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Corregir también los enlaces de textos que pase Alejandro tras el rastreo completo, incluidos los que apuntan a URL con 301.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Hecho cuando: </w:t>
      </w:r>
      <w:r>
        <w:rPr>
          <w:rFonts w:ascii="Calibri" w:cs="Calibri" w:eastAsia="Calibri" w:hAnsi="Calibri"/>
          <w:sz w:val="22"/>
          <w:szCs w:val="22"/>
        </w:rPr>
        <w:t xml:space="preserve">Ningún texto de categoría, marca o página CMS enlaza a un 404.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Depende de / coordinar con: </w:t>
      </w:r>
      <w:r>
        <w:rPr>
          <w:rFonts w:ascii="Calibri" w:cs="Calibri" w:eastAsia="Calibri" w:hAnsi="Calibri"/>
          <w:sz w:val="22"/>
          <w:szCs w:val="22"/>
        </w:rPr>
        <w:t xml:space="preserve">Lista adicional de Alejandro (tarea 6). El enlace roto del módulo de portada lo corrige el desarrollador.</w:t>
      </w:r>
    </w:p>
    <w:p>
      <w:pPr>
        <w:pStyle w:val="Heading2"/>
        <w:keepNext/>
        <w:spacing w:after="60" w:before="28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3. Títulos y descripciones de páginas con muchas apariciones</w:t>
      </w:r>
    </w:p>
    <w:p>
      <w:pPr>
        <w:keepNext/>
        <w:spacing w:after="80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Prioridad Alta  ·  Semanas 3-5 (26 oct – 13 nov)  ·  Impacto Alto  ·  Esfuerzo Medio</w:t>
      </w:r>
    </w:p>
    <w:p>
      <w:pPr>
        <w:keepNext/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Por qué: </w:t>
      </w:r>
      <w:r>
        <w:rPr>
          <w:rFonts w:ascii="Calibri" w:cs="Calibri" w:eastAsia="Calibri" w:hAnsi="Calibri"/>
          <w:sz w:val="22"/>
          <w:szCs w:val="22"/>
        </w:rPr>
        <w:t xml:space="preserve">Subir el porcentaje de clic del 2 % al 3 % daría unos 1.500 clics más al mes sin subir posiciones.</w:t>
      </w:r>
    </w:p>
    <w:p>
      <w:pPr>
        <w:keepNext/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Pasos: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Empezar por estas páginas (las propuestas de la IA son solo un punto de partida):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06"/>
        <w:gridCol w:w="2000"/>
        <w:gridCol w:w="2000"/>
      </w:tblGrid>
      <w:tr>
        <w:trPr>
          <w:cantSplit/>
          <w:tblHeader/>
        </w:trPr>
        <w:tc>
          <w:tcPr>
            <w:tcW w:type="dxa" w:w="5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Página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Apariciones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% clic</w:t>
            </w:r>
          </w:p>
        </w:tc>
      </w:tr>
      <w:tr>
        <w:trPr>
          <w:cantSplit/>
          <w:tblHeader w:val="false"/>
        </w:trPr>
        <w:tc>
          <w:tcPr>
            <w:tcW w:type="dxa" w:w="5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/en/169-mak (Ma.K)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2.145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2,0 %</w:t>
            </w:r>
          </w:p>
        </w:tc>
      </w:tr>
      <w:tr>
        <w:trPr>
          <w:cantSplit/>
          <w:tblHeader w:val="false"/>
        </w:trPr>
        <w:tc>
          <w:tcPr>
            <w:tcW w:type="dxa" w:w="5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/es/268-one-piece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863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1,3 %</w:t>
            </w:r>
          </w:p>
        </w:tc>
      </w:tr>
      <w:tr>
        <w:trPr>
          <w:cantSplit/>
          <w:tblHeader w:val="false"/>
        </w:trPr>
        <w:tc>
          <w:tcPr>
            <w:tcW w:type="dxa" w:w="5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/es/contactenos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827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0,5 %</w:t>
            </w:r>
          </w:p>
        </w:tc>
      </w:tr>
      <w:tr>
        <w:trPr>
          <w:cantSplit/>
          <w:tblHeader w:val="false"/>
        </w:trPr>
        <w:tc>
          <w:tcPr>
            <w:tcW w:type="dxa" w:w="5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/es/1395-dinosaurios-para-principiantes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818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0,5 %</w:t>
            </w:r>
          </w:p>
        </w:tc>
      </w:tr>
      <w:tr>
        <w:trPr>
          <w:cantSplit/>
          <w:tblHeader w:val="false"/>
        </w:trPr>
        <w:tc>
          <w:tcPr>
            <w:tcW w:type="dxa" w:w="5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/es/277_modelcraft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778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0,3 %</w:t>
            </w:r>
          </w:p>
        </w:tc>
      </w:tr>
      <w:tr>
        <w:trPr>
          <w:cantSplit/>
          <w:tblHeader w:val="false"/>
        </w:trPr>
        <w:tc>
          <w:tcPr>
            <w:tcW w:type="dxa" w:w="5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/es/1896-outlet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752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0,5 %</w:t>
            </w:r>
          </w:p>
        </w:tc>
      </w:tr>
      <w:tr>
        <w:trPr>
          <w:cantSplit/>
          <w:tblHeader w:val="false"/>
        </w:trPr>
        <w:tc>
          <w:tcPr>
            <w:tcW w:type="dxa" w:w="5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Ficha AK Interactive Playmarkers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636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1,1 %</w:t>
            </w:r>
          </w:p>
        </w:tc>
      </w:tr>
      <w:tr>
        <w:trPr>
          <w:cantSplit/>
          <w:tblHeader w:val="false"/>
        </w:trPr>
        <w:tc>
          <w:tcPr>
            <w:tcW w:type="dxa" w:w="5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/es/399-cabinas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635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1,9 %</w:t>
            </w:r>
          </w:p>
        </w:tc>
      </w:tr>
      <w:tr>
        <w:trPr>
          <w:cantSplit/>
          <w:tblHeader w:val="false"/>
        </w:trPr>
        <w:tc>
          <w:tcPr>
            <w:tcW w:type="dxa" w:w="5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Ficha Pintura Acrílica Tamiya X y XF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564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1,4 %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Ampliar a las 50 páginas con más apariciones y menos del 2 % de clic.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Reglas: palabra clave al inicio, máximo 60 caracteres, beneficio (envío gratis desde 99 €, 4,9/5, stock), sin emojis, idioma correcto (Ma.K en inglés). No tocar la portada.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Enviar una muestra a Alejandro para el visto bueno del cliente y aplicarlos en el panel.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Medir el porcentaje de clic a las 4 semanas.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Hecho cuando: </w:t>
      </w:r>
      <w:r>
        <w:rPr>
          <w:rFonts w:ascii="Calibri" w:cs="Calibri" w:eastAsia="Calibri" w:hAnsi="Calibri"/>
          <w:sz w:val="22"/>
          <w:szCs w:val="22"/>
        </w:rPr>
        <w:t xml:space="preserve">50 páginas actualizadas y comparadas con la foto de partida.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Depende de / coordinar con: </w:t>
      </w:r>
      <w:r>
        <w:rPr>
          <w:rFonts w:ascii="Calibri" w:cs="Calibri" w:eastAsia="Calibri" w:hAnsi="Calibri"/>
          <w:sz w:val="22"/>
          <w:szCs w:val="22"/>
        </w:rPr>
        <w:t xml:space="preserve">Visto bueno del cliente (Alejandro, tarea 5).</w:t>
      </w:r>
    </w:p>
    <w:p>
      <w:pPr>
        <w:pStyle w:val="Heading2"/>
        <w:keepNext/>
        <w:spacing w:after="60" w:before="28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4. Descripciones vacías, textos alternativos y emojis</w:t>
      </w:r>
    </w:p>
    <w:p>
      <w:pPr>
        <w:keepNext/>
        <w:spacing w:after="80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Prioridad Media  ·  Semanas 4-5 (2 nov – 13 nov)  ·  Impacto Medio  ·  Esfuerzo Medio</w:t>
      </w:r>
    </w:p>
    <w:p>
      <w:pPr>
        <w:keepNext/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Por qué: </w:t>
      </w:r>
      <w:r>
        <w:rPr>
          <w:rFonts w:ascii="Calibri" w:cs="Calibri" w:eastAsia="Calibri" w:hAnsi="Calibri"/>
          <w:sz w:val="22"/>
          <w:szCs w:val="22"/>
        </w:rPr>
        <w:t xml:space="preserve">Al menos 358 fichas y 141 categorías no tienen meta description; 22 imágenes de la portada no tienen texto alternativo; 162 H1 llevan emoji.</w:t>
      </w:r>
    </w:p>
    <w:p>
      <w:pPr>
        <w:keepNext/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Pasos: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Cargar por CSV la plantilla: «{Producto} de {Marca} en stock. Envío gratis desde 99 € y 4,9/5 en +5.000 opiniones. Compra en Robotines.»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Personalizar a mano las de más apariciones.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Rellenar el texto alternativo de las 22 imágenes de la portada.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Quitar los emojis de los títulos SEO.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Hecho cuando: </w:t>
      </w:r>
      <w:r>
        <w:rPr>
          <w:rFonts w:ascii="Calibri" w:cs="Calibri" w:eastAsia="Calibri" w:hAnsi="Calibri"/>
          <w:sz w:val="22"/>
          <w:szCs w:val="22"/>
        </w:rPr>
        <w:t xml:space="preserve">0 fichas y categorías indexables sin descripción.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Depende de / coordinar con: </w:t>
      </w:r>
      <w:r>
        <w:rPr>
          <w:rFonts w:ascii="Calibri" w:cs="Calibri" w:eastAsia="Calibri" w:hAnsi="Calibri"/>
          <w:sz w:val="22"/>
          <w:szCs w:val="22"/>
        </w:rPr>
        <w:t xml:space="preserve">Visto bueno del cliente (Alejandro, tarea 5).</w:t>
      </w:r>
    </w:p>
    <w:p>
      <w:pPr>
        <w:pStyle w:val="Heading2"/>
        <w:keepNext/>
        <w:spacing w:after="60" w:before="28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5. Textos de Envíos gratuitos y Devoluciones</w:t>
      </w:r>
    </w:p>
    <w:p>
      <w:pPr>
        <w:keepNext/>
        <w:spacing w:after="80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Prioridad Media  ·  Semana 4 (2 nov – 6 nov)  ·  Impacto Medio  ·  Esfuerzo Bajo</w:t>
      </w:r>
    </w:p>
    <w:p>
      <w:pPr>
        <w:keepNext/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Por qué: </w:t>
      </w:r>
      <w:r>
        <w:rPr>
          <w:rFonts w:ascii="Calibri" w:cs="Calibri" w:eastAsia="Calibri" w:hAnsi="Calibri"/>
          <w:sz w:val="22"/>
          <w:szCs w:val="22"/>
        </w:rPr>
        <w:t xml:space="preserve">«Envíos gratuitos» responde a una búsqueda real pero tiene 38 palabras y noindex; Devoluciones no tiene descripción.</w:t>
      </w:r>
    </w:p>
    <w:p>
      <w:pPr>
        <w:keepNext/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Pasos: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Ampliar «Envíos gratuitos» a unas 300 palabras con preguntas frecuentes.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Meta description y preguntas frecuentes en Devoluciones.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Avisar a Alejandro al publicar (él pide la indexación cuando el desarrollador quite el noindex).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Hecho cuando: </w:t>
      </w:r>
      <w:r>
        <w:rPr>
          <w:rFonts w:ascii="Calibri" w:cs="Calibri" w:eastAsia="Calibri" w:hAnsi="Calibri"/>
          <w:sz w:val="22"/>
          <w:szCs w:val="22"/>
        </w:rPr>
        <w:t xml:space="preserve">Textos publicados.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Depende de / coordinar con: </w:t>
      </w:r>
      <w:r>
        <w:rPr>
          <w:rFonts w:ascii="Calibri" w:cs="Calibri" w:eastAsia="Calibri" w:hAnsi="Calibri"/>
          <w:sz w:val="22"/>
          <w:szCs w:val="22"/>
        </w:rPr>
        <w:t xml:space="preserve">Datos del cliente (Alejandro, tarea 1). Indexación: Alejandro (tarea 8).</w:t>
      </w:r>
    </w:p>
    <w:p>
      <w:pPr>
        <w:pStyle w:val="Heading2"/>
        <w:keepNext/>
        <w:spacing w:after="60" w:before="28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6. Resolver las páginas que compiten entre sí</w:t>
      </w:r>
    </w:p>
    <w:p>
      <w:pPr>
        <w:keepNext/>
        <w:spacing w:after="80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Prioridad Media  ·  Semanas 6-7 (16 nov – 27 nov)  ·  Impacto Medio  ·  Esfuerzo Medio</w:t>
      </w:r>
    </w:p>
    <w:p>
      <w:pPr>
        <w:keepNext/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Por qué: </w:t>
      </w:r>
      <w:r>
        <w:rPr>
          <w:rFonts w:ascii="Calibri" w:cs="Calibri" w:eastAsia="Calibri" w:hAnsi="Calibri"/>
          <w:sz w:val="22"/>
          <w:szCs w:val="22"/>
        </w:rPr>
        <w:t xml:space="preserve">Google no sabe cuál mostrar en Ma.K (español e inglés), «gunpla»/«gundam», modelismo militar y sets de color Vallejo.</w:t>
      </w:r>
    </w:p>
    <w:p>
      <w:pPr>
        <w:keepNext/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Pasos: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Elegir en Search Console la URL objetivo para cada consulta.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Ajustar títulos, textos y enlaces internos hacia esa URL desde el panel.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Hecho cuando: </w:t>
      </w:r>
      <w:r>
        <w:rPr>
          <w:rFonts w:ascii="Calibri" w:cs="Calibri" w:eastAsia="Calibri" w:hAnsi="Calibri"/>
          <w:sz w:val="22"/>
          <w:szCs w:val="22"/>
        </w:rPr>
        <w:t xml:space="preserve">Cada consulta con una sola URL dominante.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Depende de / coordinar con: </w:t>
      </w:r>
      <w:r>
        <w:rPr>
          <w:rFonts w:ascii="Calibri" w:cs="Calibri" w:eastAsia="Calibri" w:hAnsi="Calibri"/>
          <w:sz w:val="22"/>
          <w:szCs w:val="22"/>
        </w:rPr>
        <w:t xml:space="preserve">Ninguna.</w:t>
      </w:r>
    </w:p>
    <w:p>
      <w:pPr>
        <w:pStyle w:val="Heading2"/>
        <w:keepNext/>
        <w:spacing w:after="60" w:before="28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7. Recuperar «super deformed» y SD Gundam</w:t>
      </w:r>
    </w:p>
    <w:p>
      <w:pPr>
        <w:keepNext/>
        <w:spacing w:after="80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Prioridad Alta  ·  Semanas 6-8 (16 nov – 4 dic)  ·  Impacto Alto  ·  Esfuerzo Medio</w:t>
      </w:r>
    </w:p>
    <w:p>
      <w:pPr>
        <w:keepNext/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Por qué: </w:t>
      </w:r>
      <w:r>
        <w:rPr>
          <w:rFonts w:ascii="Calibri" w:cs="Calibri" w:eastAsia="Calibri" w:hAnsi="Calibri"/>
          <w:sz w:val="22"/>
          <w:szCs w:val="22"/>
        </w:rPr>
        <w:t xml:space="preserve">14.800 búsquedas al mes. La categoría llegó a estar en el puesto 3 y hoy no sale en el top 100.</w:t>
      </w:r>
    </w:p>
    <w:p>
      <w:pPr>
        <w:keepNext/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Pasos: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Analizar la página de resultados: si Google no muestra tiendas, apuntar a variantes de compra («maquetas sd gundam», «sd gundam ex standard»).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Si la categoría parece no estar indexada o ha cambiado de URL, avisar a Alejandro.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Redactar 300-500 palabras con preguntas frecuentes, título y H1; enlazar desde la categoría Gundam.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Hecho cuando: </w:t>
      </w:r>
      <w:r>
        <w:rPr>
          <w:rFonts w:ascii="Calibri" w:cs="Calibri" w:eastAsia="Calibri" w:hAnsi="Calibri"/>
          <w:sz w:val="22"/>
          <w:szCs w:val="22"/>
        </w:rPr>
        <w:t xml:space="preserve">Categoría actualizada y seguida cada semana.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Depende de / coordinar con: </w:t>
      </w:r>
      <w:r>
        <w:rPr>
          <w:rFonts w:ascii="Calibri" w:cs="Calibri" w:eastAsia="Calibri" w:hAnsi="Calibri"/>
          <w:sz w:val="22"/>
          <w:szCs w:val="22"/>
        </w:rPr>
        <w:t xml:space="preserve">Revisión del cliente (Alejandro, tarea 11).</w:t>
      </w:r>
    </w:p>
    <w:p>
      <w:pPr>
        <w:pStyle w:val="Heading2"/>
        <w:keepNext/>
        <w:spacing w:after="60" w:before="28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8. Palabras cerca de la primera página, barcos y trenes</w:t>
      </w:r>
    </w:p>
    <w:p>
      <w:pPr>
        <w:keepNext/>
        <w:spacing w:after="80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Prioridad Alta  ·  Semanas 7-9 (23 nov – 11 dic)  ·  Impacto Alto  ·  Esfuerzo Medio</w:t>
      </w:r>
    </w:p>
    <w:p>
      <w:pPr>
        <w:keepNext/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Por qué: </w:t>
      </w:r>
      <w:r>
        <w:rPr>
          <w:rFonts w:ascii="Calibri" w:cs="Calibri" w:eastAsia="Calibri" w:hAnsi="Calibri"/>
          <w:sz w:val="22"/>
          <w:szCs w:val="22"/>
        </w:rPr>
        <w:t xml:space="preserve">«modelismo maquetas», «tienda maquetas» y «modelismo tiendas» (unas 1.900 búsquedas) están en los puestos 17 y 18; barcos en el 44 y trenes en el 25.</w:t>
      </w:r>
    </w:p>
    <w:p>
      <w:pPr>
        <w:keepNext/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Pasos: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Ver qué URL posiciona para cada palabra.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Optimizar título, H1 y texto de esa URL y añadir enlaces internos con esas palabras.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Barcos y trenes: comparar con El Taller del Modelista y redactar texto, preguntas frecuentes y título orientado a compra.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Hecho cuando: </w:t>
      </w:r>
      <w:r>
        <w:rPr>
          <w:rFonts w:ascii="Calibri" w:cs="Calibri" w:eastAsia="Calibri" w:hAnsi="Calibri"/>
          <w:sz w:val="22"/>
          <w:szCs w:val="22"/>
        </w:rPr>
        <w:t xml:space="preserve">Textos publicados.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Depende de / coordinar con: </w:t>
      </w:r>
      <w:r>
        <w:rPr>
          <w:rFonts w:ascii="Calibri" w:cs="Calibri" w:eastAsia="Calibri" w:hAnsi="Calibri"/>
          <w:sz w:val="22"/>
          <w:szCs w:val="22"/>
        </w:rPr>
        <w:t xml:space="preserve">Revisión del cliente (Alejandro, tarea 11).</w:t>
      </w:r>
    </w:p>
    <w:p>
      <w:pPr>
        <w:pStyle w:val="Heading2"/>
        <w:keepNext/>
        <w:spacing w:after="60" w:before="28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9. Tres guías para el blog</w:t>
      </w:r>
    </w:p>
    <w:p>
      <w:pPr>
        <w:keepNext/>
        <w:spacing w:after="80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Prioridad Media  ·  Semanas 8-11 (30 nov – 25 dic)  ·  Impacto Medio  ·  Esfuerzo Alto</w:t>
      </w:r>
    </w:p>
    <w:p>
      <w:pPr>
        <w:keepNext/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Por qué: </w:t>
      </w:r>
      <w:r>
        <w:rPr>
          <w:rFonts w:ascii="Calibri" w:cs="Calibri" w:eastAsia="Calibri" w:hAnsi="Calibri"/>
          <w:sz w:val="22"/>
          <w:szCs w:val="22"/>
        </w:rPr>
        <w:t xml:space="preserve">Sin guías la tienda solo capta a quien ya sabe lo que busca.</w:t>
      </w:r>
    </w:p>
    <w:p>
      <w:pPr>
        <w:keepNext/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Pasos: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Cómo pintar maquetas Gundam para principiantes.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Mejores herramientas y pinceles de precisión (Mr. Hobby, Modelcraft, Tamiya).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Maquetas Pokémon: Bandai frente a Takara Tomy.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Cada una: 1.500-2.500 palabras, fotos del cliente, 5-10 enlaces a productos y categorías y autor con experiencia.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Hecho cuando: </w:t>
      </w:r>
      <w:r>
        <w:rPr>
          <w:rFonts w:ascii="Calibri" w:cs="Calibri" w:eastAsia="Calibri" w:hAnsi="Calibri"/>
          <w:sz w:val="22"/>
          <w:szCs w:val="22"/>
        </w:rPr>
        <w:t xml:space="preserve">Tres guías publicadas.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Depende de / coordinar con: </w:t>
      </w:r>
      <w:r>
        <w:rPr>
          <w:rFonts w:ascii="Calibri" w:cs="Calibri" w:eastAsia="Calibri" w:hAnsi="Calibri"/>
          <w:sz w:val="22"/>
          <w:szCs w:val="22"/>
        </w:rPr>
        <w:t xml:space="preserve">Fotos y revisión del cliente (Alejandro, tarea 11).</w:t>
      </w:r>
    </w:p>
    <w:p>
      <w:pPr>
        <w:pStyle w:val="Heading2"/>
        <w:keepNext/>
        <w:spacing w:after="60" w:before="28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10. Registro de cambios y resultados on page</w:t>
      </w:r>
    </w:p>
    <w:p>
      <w:pPr>
        <w:keepNext/>
        <w:spacing w:after="80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Prioridad Media  ·  Semanas 8-12 (30 nov – 31 dic) y continuo  ·  Impacto Medio  ·  Esfuerzo Bajo</w:t>
      </w:r>
    </w:p>
    <w:p>
      <w:pPr>
        <w:keepNext/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Por qué: </w:t>
      </w:r>
      <w:r>
        <w:rPr>
          <w:rFonts w:ascii="Calibri" w:cs="Calibri" w:eastAsia="Calibri" w:hAnsi="Calibri"/>
          <w:sz w:val="22"/>
          <w:szCs w:val="22"/>
        </w:rPr>
        <w:t xml:space="preserve">Alejandro lo incluye en el informe mensual al cliente.</w:t>
      </w:r>
    </w:p>
    <w:p>
      <w:pPr>
        <w:keepNext/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Pasos:</w:t>
      </w:r>
    </w:p>
    <w:p>
      <w:pPr>
        <w:pStyle w:val="ListParagraph"/>
        <w:numPr>
          <w:ilvl w:val="0"/>
          <w:numId w:val="11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Mantener al día el registro de cambios (página, qué se cambió, fecha).</w:t>
      </w:r>
    </w:p>
    <w:p>
      <w:pPr>
        <w:pStyle w:val="ListParagraph"/>
        <w:numPr>
          <w:ilvl w:val="0"/>
          <w:numId w:val="11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A finales de noviembre y de diciembre, comparar clics, % de clic y posición de las páginas tocadas con la foto de partida.</w:t>
      </w:r>
    </w:p>
    <w:p>
      <w:pPr>
        <w:pStyle w:val="ListParagraph"/>
        <w:numPr>
          <w:ilvl w:val="0"/>
          <w:numId w:val="11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Enviar el resumen a Alejandro.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Hecho cuando: </w:t>
      </w:r>
      <w:r>
        <w:rPr>
          <w:rFonts w:ascii="Calibri" w:cs="Calibri" w:eastAsia="Calibri" w:hAnsi="Calibri"/>
          <w:sz w:val="22"/>
          <w:szCs w:val="22"/>
        </w:rPr>
        <w:t xml:space="preserve">Resumen entregado cada mes.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Depende de / coordinar con: </w:t>
      </w:r>
      <w:r>
        <w:rPr>
          <w:rFonts w:ascii="Calibri" w:cs="Calibri" w:eastAsia="Calibri" w:hAnsi="Calibri"/>
          <w:sz w:val="22"/>
          <w:szCs w:val="22"/>
        </w:rPr>
        <w:t xml:space="preserve">Informe al cliente: Alejandro (tarea 13).</w:t>
      </w:r>
    </w:p>
    <w:p>
      <w:pPr>
        <w:pStyle w:val="Heading1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Pendiente de decidir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Prioridad entre SD Gundam, barcos y trenes según el margen del cliente (lo decide Alejandro).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Ajustar el orden de las tareas cuando Alejandro confirme si la caída del 30 de septiembre es real.</w:t>
      </w:r>
    </w:p>
    <w:sectPr>
      <w:footerReference w:type="default" r:id="rId7"/>
      <w:pgSz w:w="11906" w:h="16838" w:orient="portrait"/>
      <w:pgMar w:top="1300" w:right="1300" w:bottom="13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808080"/>
        <w:sz w:val="16"/>
        <w:szCs w:val="16"/>
      </w:rPr>
      <w:t xml:space="preserve">Tareas de SEO · Robotines · página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2"/>
    <w:lvlOverride w:ilvl="0">
      <w:startOverride w:val="1"/>
    </w:lvlOverride>
  </w:num>
  <w:num w:numId="11">
    <w:abstractNumId w:val="2"/>
    <w:lvlOverride w:ilvl="0">
      <w:startOverride w:val="1"/>
    </w:lvlOverride>
  </w:num>
  <w:num w:numId="1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20"/>
    </w:pPr>
    <w:rPr>
      <w:rFonts w:ascii="Calibri" w:cs="Calibri" w:eastAsia="Calibri" w:hAnsi="Calibri"/>
      <w:b/>
      <w:bCs/>
      <w:color w:val="1F4E79"/>
      <w:sz w:val="44"/>
      <w:szCs w:val="44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Calibri" w:cs="Calibri" w:eastAsia="Calibri" w:hAnsi="Calibri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Calibri" w:cs="Calibri" w:eastAsia="Calibri" w:hAnsi="Calibri"/>
      <w:b/>
      <w:bCs/>
      <w:color w:val="2E75B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Tareas de la responsable de SEO</dc:title>
  <dc:creator>Responsable de SEO</dc:creator>
  <cp:lastModifiedBy>Un-named</cp:lastModifiedBy>
  <cp:revision>1</cp:revision>
  <dcterms:created xsi:type="dcterms:W3CDTF">2026-10-09T16:37:43.536Z</dcterms:created>
  <dcterms:modified xsi:type="dcterms:W3CDTF">2026-10-09T16:37:43.536Z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