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Tareas de Alejandro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Plan de trabajo SEO · Robotines · basado en la auditoría de INFOSAMA del 5 de octubre de 2026</w:t>
      </w:r>
    </w:p>
    <w:p>
      <w:pPr>
        <w:spacing w:after="200"/>
      </w:pPr>
      <w:r>
        <w:rPr>
          <w:sz w:val="21"/>
          <w:szCs w:val="21"/>
        </w:rPr>
        <w:t xml:space="preserve">Cambios desde el panel de PrestaShop (textos de categorías, páginas CMS, blog), datos del negocio y contacto con fabricantes, clubes y medios. La responsable de SEO prepara los textos y listas; Alejandro los aplica y aporta el conocimiento del catálogo.</w:t>
      </w:r>
    </w:p>
    <w:p>
      <w:pPr>
        <w:spacing w:after="200"/>
      </w:pPr>
      <w:r>
        <w:rPr>
          <w:i/>
          <w:iCs/>
          <w:color w:val="595959"/>
          <w:sz w:val="19"/>
          <w:szCs w:val="19"/>
        </w:rPr>
        <w:t xml:space="preserve">Los códigos (T1, T2…) son comunes a los tres documentos: una misma tarea puede tener parte del desarrollador, de Alejandro y de la responsable de SEO.</w:t>
      </w:r>
    </w:p>
    <w:p>
      <w:pPr>
        <w:pStyle w:val="Heading1"/>
      </w:pPr>
      <w:r>
        <w:t xml:space="preserve">Resumen y seguimiento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326"/>
        <w:gridCol w:w="1100"/>
        <w:gridCol w:w="150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Tarea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Prioridad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Plazo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T2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de pedidos para cuadrar Analytics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55A11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 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T4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Corregir enlaces rotos en textos de categorías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55A11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T5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Enlaces del Aviso legal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E75B6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T6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Enlaces en textos que pasan por redirecciones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E75B6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T7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Aplicar títulos y meta descriptions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55A11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T10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Información de envíos y devoluciones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E75B6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T13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Imágenes y emojis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548235"/>
                <w:sz w:val="19"/>
                <w:szCs w:val="19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T14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Decidir el nuevo menú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00000"/>
                <w:sz w:val="19"/>
                <w:szCs w:val="19"/>
              </w:rPr>
              <w:t xml:space="preserve">Crítica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Meses 2–3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T15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Ajustar páginas que compiten entre sí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E75B6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Meses 2–3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T16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Filtros con interés comercial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E75B6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Meses 2–3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T17–T19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Categorías SD Gundam, barcos y trenes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55A11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Meses 2–3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T20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Guías del blog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E75B6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Meses 2–3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T21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Conseguir enlaces de fabricantes, clubes y medios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55A11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Continuo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1"/>
        <w:spacing w:before="360"/>
      </w:pPr>
      <w:r>
        <w:t xml:space="preserve">Semana 1</w:t>
      </w:r>
    </w:p>
    <w:p>
      <w:pPr>
        <w:pStyle w:val="Heading2"/>
        <w:keepNext/>
      </w:pPr>
      <w:r>
        <w:t xml:space="preserve">T2 · Datos de pedidos para cuadrar Analytics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55A11"/>
          <w:sz w:val="20"/>
          <w:szCs w:val="20"/>
        </w:rPr>
        <w:t xml:space="preserve">Alta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 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Exportar del back office el número de pedidos e ingresos de septiembre de 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Enviarlo a la responsable de SEO para compararlo con GA4 (que solo registra 13 compras).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Datos entregados.</w:t>
      </w:r>
    </w:p>
    <w:p>
      <w:pPr>
        <w:pStyle w:val="Heading1"/>
        <w:spacing w:before="360"/>
      </w:pPr>
      <w:r>
        <w:t xml:space="preserve">Semanas 2–5</w:t>
      </w:r>
    </w:p>
    <w:p>
      <w:pPr>
        <w:pStyle w:val="Heading2"/>
        <w:keepNext/>
      </w:pPr>
      <w:r>
        <w:t xml:space="preserve">T4 · Corregir enlaces rotos en textos de categorías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55A11"/>
          <w:sz w:val="20"/>
          <w:szCs w:val="20"/>
        </w:rPr>
        <w:t xml:space="preserve">Alta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Editar en Catálogo › Categorías (campo Descripción) y Marcas los enlaces rotos de esta tabla: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600"/>
        <w:gridCol w:w="2526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Página que enlaza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Enlace roto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Sustituir por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Portada /es/ (módulo)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/es/1826-master-grade-ex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Categoría Master Grade vigente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 Mr. Hobby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/es/34-mr-hobby, /es/136-acrilicas, /es/1542-mr-color-spray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actuales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Perfect Grade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/es/7-real-grade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/es/81-real-grade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Pinturas y complementos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/es/923-tamiya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 Tamiya vigente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Batman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/es/25-pinzas, /es/606-vengadores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Actualizar o quitar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Evangelion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/es/134-digimon, /es/166-macross-frontier, /es/468-full-metal-panic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Actualizar o quitar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Tanques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/es/672-vitrinas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Actualizar o quitar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Maquetas Mazinger Z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/es/maquetas-anime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Actualizar o quitar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 Gundam, merchandising, gashapones, videojuegos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/es/1893-maquetas-series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Actualizar o quitar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Repetir con la segunda lista que enviará la responsable de SEO (unos 50 errores más).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Si una categoría se elimina en el futuro, avisar para crear su redirección.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Ninguna de esas páginas enlaza a un 404.</w:t>
      </w:r>
    </w:p>
    <w:p>
      <w:pPr>
        <w:pStyle w:val="Heading2"/>
        <w:keepNext/>
      </w:pPr>
      <w:r>
        <w:t xml:space="preserve">T5 · Enlaces del Aviso legal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2E75B6"/>
          <w:sz w:val="20"/>
          <w:szCs w:val="20"/>
        </w:rPr>
        <w:t xml:space="preserve">Media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En Diseño › Páginas (CMS) › Aviso legal, cambiar los enlaces de Política de privacidad y Cookies: hoy llevan a «Reservas» y «Sugerencias».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Revisar lo mismo en las versiones en inglés y francés.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Ambos enlaces abren la página correcta en los tres idiomas.</w:t>
      </w:r>
    </w:p>
    <w:p>
      <w:pPr>
        <w:pStyle w:val="Heading2"/>
        <w:keepNext/>
      </w:pPr>
      <w:r>
        <w:t xml:space="preserve">T6 · Enlaces en textos que pasan por redirecciones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2E75B6"/>
          <w:sz w:val="20"/>
          <w:szCs w:val="20"/>
        </w:rPr>
        <w:t xml:space="preserve">Media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</w:rPr>
        <w:t xml:space="preserve">Con la lista de la responsable de SEO, cambiar en descripciones de categorías y páginas CMS los enlaces a URL antiguas por la URL final.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Lista completada.</w:t>
      </w:r>
    </w:p>
    <w:p>
      <w:pPr>
        <w:pStyle w:val="Heading2"/>
        <w:keepNext/>
      </w:pPr>
      <w:r>
        <w:t xml:space="preserve">T7 · Aplicar títulos y meta descriptions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55A11"/>
          <w:sz w:val="20"/>
          <w:szCs w:val="20"/>
        </w:rPr>
        <w:t xml:space="preserve">Alta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Recibir la hoja de la responsable de SEO con títulos y descripciones nuevos (primero 50 páginas con muchas apariciones y pocos clics).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Aplicarlos en el panel (pestaña SEO de cada categoría/producto) o con importación CSV.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Cargar por CSV la descripción plantilla en las 358 fichas y 141 categorías que la tienen vacía.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No cambiar el título de la portada.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Anotar la fecha de subida y avisar.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Hoja aplicada y 0 fichas/categorías sin descripción.</w:t>
      </w:r>
    </w:p>
    <w:p>
      <w:pPr>
        <w:pStyle w:val="Heading2"/>
        <w:keepNext/>
      </w:pPr>
      <w:r>
        <w:t xml:space="preserve">T10 · Información de envíos y devoluciones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2E75B6"/>
          <w:sz w:val="20"/>
          <w:szCs w:val="20"/>
        </w:rPr>
        <w:t xml:space="preserve">Media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</w:rPr>
        <w:t xml:space="preserve">Facilitar a la responsable de SEO y al desarrollador: umbral de envío gratis, plazos, zonas, transportistas, coste, plazo y condiciones de devolución.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</w:rPr>
        <w:t xml:space="preserve">Publicar en el CMS los textos ampliados de «Envíos gratuitos» y «Devoluciones» que redacte la responsable de SEO.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Datos entregados y páginas actualizadas.</w:t>
      </w:r>
    </w:p>
    <w:p>
      <w:pPr>
        <w:pStyle w:val="Heading2"/>
        <w:keepNext/>
      </w:pPr>
      <w:r>
        <w:t xml:space="preserve">T13 · Imágenes y emojis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548235"/>
          <w:sz w:val="20"/>
          <w:szCs w:val="20"/>
        </w:rPr>
        <w:t xml:space="preserve">Baja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</w:rPr>
        <w:t xml:space="preserve">Rellenar el texto alternativo de las 22 imágenes de la portada que lo tienen vacío (describir lo que muestra: «Maqueta Gundam RX-78-2 Master Grade»).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</w:rPr>
        <w:t xml:space="preserve">Dejar de usar emojis en los títulos SEO de categorías nuevas.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</w:rPr>
        <w:t xml:space="preserve">Subir en adelante las imágenes ya optimizadas (WebP, peso &lt; 200 KB).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22 imágenes con texto alternativo.</w:t>
      </w:r>
    </w:p>
    <w:p>
      <w:pPr>
        <w:pStyle w:val="Heading1"/>
        <w:spacing w:before="360"/>
      </w:pPr>
      <w:r>
        <w:t xml:space="preserve">Meses 2–3</w:t>
      </w:r>
    </w:p>
    <w:p>
      <w:pPr>
        <w:pStyle w:val="Heading2"/>
        <w:keepNext/>
      </w:pPr>
      <w:r>
        <w:t xml:space="preserve">T14 · Decidir el nuevo menú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00000"/>
          <w:sz w:val="20"/>
          <w:szCs w:val="20"/>
        </w:rPr>
        <w:t xml:space="preserve">Crítica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Meses 2–3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1"/>
          <w:szCs w:val="21"/>
        </w:rPr>
        <w:t xml:space="preserve">Con la responsable de SEO, elegir las categorías de primer y segundo nivel que se quedan en el menú (según ventas y búsquedas).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1"/>
          <w:szCs w:val="21"/>
        </w:rPr>
        <w:t xml:space="preserve">Entregar la lista al desarrollador.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Estructura de menú aprobada.</w:t>
      </w:r>
    </w:p>
    <w:p>
      <w:pPr>
        <w:pStyle w:val="Heading2"/>
        <w:keepNext/>
      </w:pPr>
      <w:r>
        <w:t xml:space="preserve">T15 · Ajustar páginas que compiten entre sí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2E75B6"/>
          <w:sz w:val="20"/>
          <w:szCs w:val="20"/>
        </w:rPr>
        <w:t xml:space="preserve">Media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Meses 2–3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1"/>
          <w:szCs w:val="21"/>
        </w:rPr>
        <w:t xml:space="preserve">Aplicar los cambios de títulos y textos que indique la responsable de SEO en: Ma.K (es/en), gunpla/gundam, maquetas vs figuras militares y sets de color Vallejo.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1"/>
          <w:szCs w:val="21"/>
        </w:rPr>
        <w:t xml:space="preserve">En los sets Vallejo, valorar si conviene unificar productos casi idénticos.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Cambios aplicados.</w:t>
      </w:r>
    </w:p>
    <w:p>
      <w:pPr>
        <w:pStyle w:val="Heading2"/>
        <w:keepNext/>
      </w:pPr>
      <w:r>
        <w:t xml:space="preserve">T16 · Filtros con interés comercial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2E75B6"/>
          <w:sz w:val="20"/>
          <w:szCs w:val="20"/>
        </w:rPr>
        <w:t xml:space="preserve">Media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Meses 2–3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1"/>
          <w:szCs w:val="21"/>
        </w:rPr>
        <w:t xml:space="preserve">Indicar qué combinaciones de filtros tienen sentido como página propia (p. ej. marca dentro de una categoría) para revisarlas con la responsable de SEO.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Lista entregada.</w:t>
      </w:r>
    </w:p>
    <w:p>
      <w:pPr>
        <w:pStyle w:val="Heading2"/>
        <w:keepNext/>
      </w:pPr>
      <w:r>
        <w:t xml:space="preserve">T17–T19 · Categorías SD Gundam, barcos y trenes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55A11"/>
          <w:sz w:val="20"/>
          <w:szCs w:val="20"/>
        </w:rPr>
        <w:t xml:space="preserve">Alta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Meses 2–3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</w:rPr>
        <w:t xml:space="preserve">Revisar que los textos que redacte la responsable de SEO son correctos técnicamente (gamas SD EX-Standard, SDCS, BB Senshi; escalas de barcos y trenes).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</w:rPr>
        <w:t xml:space="preserve">Publicarlos en la descripción de cada categoría, con título y H1 indicados.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</w:rPr>
        <w:t xml:space="preserve">Comprobar que el surtido de esas categorías está completo y con stock visible.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Tres categorías actualizadas.</w:t>
      </w:r>
    </w:p>
    <w:p>
      <w:pPr>
        <w:pStyle w:val="Heading2"/>
        <w:keepNext/>
      </w:pPr>
      <w:r>
        <w:t xml:space="preserve">T20 · Guías del blog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2E75B6"/>
          <w:sz w:val="20"/>
          <w:szCs w:val="20"/>
        </w:rPr>
        <w:t xml:space="preserve">Media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Meses 2–3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</w:rPr>
        <w:t xml:space="preserve">Aportar fotos propias (proceso de pintado, herramientas, comparativa de kits Pokémon).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</w:rPr>
        <w:t xml:space="preserve">Revisar el contenido como experto y firmar la guía si procede (autor con experiencia).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</w:rPr>
        <w:t xml:space="preserve">Publicar en el módulo de blog y enlazar desde las categorías relacionadas.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Tres guías publicadas.</w:t>
      </w:r>
    </w:p>
    <w:p>
      <w:pPr>
        <w:pStyle w:val="Heading1"/>
        <w:spacing w:before="360"/>
      </w:pPr>
      <w:r>
        <w:t xml:space="preserve">Continuo</w:t>
      </w:r>
    </w:p>
    <w:p>
      <w:pPr>
        <w:pStyle w:val="Heading2"/>
        <w:keepNext/>
      </w:pPr>
      <w:r>
        <w:t xml:space="preserve">T21 · Conseguir enlaces de fabricantes, clubes y medios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55A11"/>
          <w:sz w:val="20"/>
          <w:szCs w:val="20"/>
        </w:rPr>
        <w:t xml:space="preserve">Alta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Continuo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1"/>
          <w:szCs w:val="21"/>
        </w:rPr>
        <w:t xml:space="preserve">Fabricantes y distribuidores (DXM Decals, Mr. Hobby Europe, VMS, Zoukei-Mura, Bandai, Tamiya, Kotobukiya, Kagero): pedir aparecer en su listado de distribuidores o tiendas oficiales con enlace.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1"/>
          <w:szCs w:val="21"/>
        </w:rPr>
        <w:t xml:space="preserve">Clubes y asociaciones de modelismo: patrocinar concursos o exposiciones a cambio de mención con enlace.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1"/>
          <w:szCs w:val="21"/>
        </w:rPr>
        <w:t xml:space="preserve">Enviar kits a blogs y canales de YouTube de modelismo para reseñas.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1"/>
          <w:szCs w:val="21"/>
        </w:rPr>
        <w:t xml:space="preserve">Contar la historia de la tienda (desde 2011, 4,9/5 con casi 5.000 opiniones) a prensa local.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1"/>
          <w:szCs w:val="21"/>
        </w:rPr>
        <w:t xml:space="preserve">Comunicar cada enlace conseguido a la responsable de SEO.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Objetivo: 2–4 webs reales nuevas al mes.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Robotines · Plan SEO · Alejandro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40" w:before="30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60" w:before="240"/>
      <w:outlineLvl w:val="1"/>
    </w:pPr>
    <w:rPr>
      <w:b/>
      <w:bCs/>
      <w:color w:val="2E2E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Tareas de Alejandro</dc:title>
  <dc:creator>Responsable de SEO</dc:creator>
  <cp:lastModifiedBy>Un-named</cp:lastModifiedBy>
  <cp:revision>1</cp:revision>
  <dcterms:created xsi:type="dcterms:W3CDTF">2026-10-09T14:37:01.506Z</dcterms:created>
  <dcterms:modified xsi:type="dcterms:W3CDTF">2026-10-09T14:37:01.506Z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