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6F5E"/>
          <w:sz w:val="22"/>
        </w:rPr>
        <w:t>NEXUSSUPPORT</w:t>
      </w:r>
    </w:p>
    <w:p>
      <w:pPr>
        <w:pStyle w:val="Title"/>
        <w:spacing w:after="80"/>
      </w:pPr>
      <w:r>
        <w:rPr>
          <w:b/>
          <w:color w:val="171A16"/>
          <w:sz w:val="60"/>
        </w:rPr>
        <w:t>Project Document</w:t>
      </w:r>
    </w:p>
    <w:p>
      <w:pPr>
        <w:spacing w:after="80"/>
      </w:pPr>
      <w:r>
        <w:rPr>
          <w:i w:val="0"/>
          <w:color w:val="5B645F"/>
          <w:sz w:val="26"/>
        </w:rPr>
        <w:t>Multi-Tenant AI Customer Support Platform</w:t>
      </w:r>
    </w:p>
    <w:p>
      <w:pPr>
        <w:spacing w:after="400"/>
      </w:pPr>
      <w:r>
        <w:rPr>
          <w:color w:val="5B645F"/>
          <w:sz w:val="22"/>
        </w:rPr>
        <w:t xml:space="preserve">Live URL: </w:t>
      </w:r>
      <w:r>
        <w:rPr>
          <w:color w:val="2F6F5E"/>
          <w:sz w:val="22"/>
          <w:u w:val="single"/>
        </w:rPr>
        <w:t>https://d2q0x1hrkokxho.cloudfront.net</w:t>
      </w:r>
    </w:p>
    <w:p>
      <w:pPr>
        <w:spacing w:after="200"/>
      </w:pPr>
      <w:r>
        <w:t>__________________________________________________________________________________________</w:t>
      </w:r>
    </w:p>
    <w:p>
      <w:pPr>
        <w:pStyle w:val="Heading1"/>
        <w:spacing w:before="360" w:after="160"/>
      </w:pPr>
      <w:r>
        <w:rPr>
          <w:b/>
          <w:color w:val="171A16"/>
          <w:sz w:val="40"/>
        </w:rPr>
        <w:t>1. Executive Summary</w:t>
      </w:r>
    </w:p>
    <w:p>
      <w:pPr>
        <w:spacing w:after="160"/>
      </w:pPr>
      <w:r>
        <w:rPr>
          <w:i w:val="0"/>
          <w:color w:val="171A16"/>
          <w:sz w:val="22"/>
        </w:rPr>
        <w:t>NexusSupport is a multi-tenant customer support demo application covering chat, voice, and AI-agent workflows for three sample tenants (ShopNow, CloudStack, MedCare). It is deployed on AWS using a fully serverless architecture — no EC2 instances, no VPC/load balancer to manage — so cost scales with actual usage rather than fixed uptime.</w:t>
      </w:r>
    </w:p>
    <w:tbl>
      <w:tblPr>
        <w:tblW w:type="auto" w:w="0"/>
        <w:jc w:val="left"/>
        <w:tblLayout w:type="autofit"/>
        <w:tblLook w:firstColumn="1" w:firstRow="1" w:lastColumn="0" w:lastRow="0" w:noHBand="0" w:noVBand="1" w:val="04A0"/>
      </w:tblPr>
      <w:tblGrid>
        <w:gridCol w:w="4680"/>
        <w:gridCol w:w="4680"/>
      </w:tblGrid>
      <w:tr>
        <w:tc>
          <w:tcPr>
            <w:tcW w:type="dxa" w:w="2160"/>
            <w:shd w:val="clear" w:color="auto" w:fill="DDE8E2"/>
            <w:tcBorders>
              <w:top w:val="single" w:sz="4" w:color="C7CDBF"/>
              <w:left w:val="single" w:sz="4" w:color="C7CDBF"/>
              <w:bottom w:val="single" w:sz="4" w:color="C7CDBF"/>
              <w:right w:val="single" w:sz="4" w:color="C7CDBF"/>
            </w:tcBorders>
          </w:tcPr>
          <w:p>
            <w:r/>
            <w:r>
              <w:rPr>
                <w:b/>
                <w:color w:val="2F6F5E"/>
                <w:sz w:val="18"/>
              </w:rPr>
              <w:t>LAYER</w:t>
            </w:r>
          </w:p>
        </w:tc>
        <w:tc>
          <w:tcPr>
            <w:tcW w:type="dxa" w:w="6912"/>
            <w:shd w:val="clear" w:color="auto" w:fill="DDE8E2"/>
            <w:tcBorders>
              <w:top w:val="single" w:sz="4" w:color="C7CDBF"/>
              <w:left w:val="single" w:sz="4" w:color="C7CDBF"/>
              <w:bottom w:val="single" w:sz="4" w:color="C7CDBF"/>
              <w:right w:val="single" w:sz="4" w:color="C7CDBF"/>
            </w:tcBorders>
          </w:tcPr>
          <w:p>
            <w:r/>
            <w:r>
              <w:rPr>
                <w:b/>
                <w:color w:val="2F6F5E"/>
                <w:sz w:val="18"/>
              </w:rPr>
              <w:t>CHOICE</w:t>
            </w:r>
          </w:p>
        </w:tc>
      </w:tr>
      <w:tr>
        <w:tc>
          <w:tcPr>
            <w:tcW w:type="dxa" w:w="2160"/>
            <w:tcBorders>
              <w:top w:val="single" w:sz="4" w:color="C7CDBF"/>
              <w:left w:val="single" w:sz="4" w:color="C7CDBF"/>
              <w:bottom w:val="single" w:sz="4" w:color="C7CDBF"/>
              <w:right w:val="single" w:sz="4" w:color="C7CDBF"/>
            </w:tcBorders>
          </w:tcPr>
          <w:p>
            <w:r/>
            <w:r>
              <w:rPr>
                <w:color w:val="171A16"/>
                <w:sz w:val="21"/>
              </w:rPr>
              <w:t>Frontend</w:t>
            </w:r>
          </w:p>
        </w:tc>
        <w:tc>
          <w:tcPr>
            <w:tcW w:type="dxa" w:w="6912"/>
            <w:tcBorders>
              <w:top w:val="single" w:sz="4" w:color="C7CDBF"/>
              <w:left w:val="single" w:sz="4" w:color="C7CDBF"/>
              <w:bottom w:val="single" w:sz="4" w:color="C7CDBF"/>
              <w:right w:val="single" w:sz="4" w:color="C7CDBF"/>
            </w:tcBorders>
          </w:tcPr>
          <w:p>
            <w:r/>
            <w:r>
              <w:rPr>
                <w:color w:val="171A16"/>
                <w:sz w:val="21"/>
              </w:rPr>
              <w:t>React 18 + Vite, served as a static bundle</w:t>
            </w:r>
          </w:p>
        </w:tc>
      </w:tr>
      <w:tr>
        <w:tc>
          <w:tcPr>
            <w:tcW w:type="dxa" w:w="2160"/>
            <w:tcBorders>
              <w:top w:val="single" w:sz="4" w:color="C7CDBF"/>
              <w:left w:val="single" w:sz="4" w:color="C7CDBF"/>
              <w:bottom w:val="single" w:sz="4" w:color="C7CDBF"/>
              <w:right w:val="single" w:sz="4" w:color="C7CDBF"/>
            </w:tcBorders>
          </w:tcPr>
          <w:p>
            <w:r/>
            <w:r>
              <w:rPr>
                <w:color w:val="171A16"/>
                <w:sz w:val="21"/>
              </w:rPr>
              <w:t>Backend</w:t>
            </w:r>
          </w:p>
        </w:tc>
        <w:tc>
          <w:tcPr>
            <w:tcW w:type="dxa" w:w="6912"/>
            <w:tcBorders>
              <w:top w:val="single" w:sz="4" w:color="C7CDBF"/>
              <w:left w:val="single" w:sz="4" w:color="C7CDBF"/>
              <w:bottom w:val="single" w:sz="4" w:color="C7CDBF"/>
              <w:right w:val="single" w:sz="4" w:color="C7CDBF"/>
            </w:tcBorders>
          </w:tcPr>
          <w:p>
            <w:r/>
            <w:r>
              <w:rPr>
                <w:color w:val="171A16"/>
                <w:sz w:val="21"/>
              </w:rPr>
              <w:t>Node.js / Express REST API</w:t>
            </w:r>
          </w:p>
        </w:tc>
      </w:tr>
      <w:tr>
        <w:tc>
          <w:tcPr>
            <w:tcW w:type="dxa" w:w="2160"/>
            <w:tcBorders>
              <w:top w:val="single" w:sz="4" w:color="C7CDBF"/>
              <w:left w:val="single" w:sz="4" w:color="C7CDBF"/>
              <w:bottom w:val="single" w:sz="4" w:color="C7CDBF"/>
              <w:right w:val="single" w:sz="4" w:color="C7CDBF"/>
            </w:tcBorders>
          </w:tcPr>
          <w:p>
            <w:r/>
            <w:r>
              <w:rPr>
                <w:color w:val="171A16"/>
                <w:sz w:val="21"/>
              </w:rPr>
              <w:t>Database</w:t>
            </w:r>
          </w:p>
        </w:tc>
        <w:tc>
          <w:tcPr>
            <w:tcW w:type="dxa" w:w="6912"/>
            <w:tcBorders>
              <w:top w:val="single" w:sz="4" w:color="C7CDBF"/>
              <w:left w:val="single" w:sz="4" w:color="C7CDBF"/>
              <w:bottom w:val="single" w:sz="4" w:color="C7CDBF"/>
              <w:right w:val="single" w:sz="4" w:color="C7CDBF"/>
            </w:tcBorders>
          </w:tcPr>
          <w:p>
            <w:r/>
            <w:r>
              <w:rPr>
                <w:color w:val="171A16"/>
                <w:sz w:val="21"/>
              </w:rPr>
              <w:t>Amazon DynamoDB (on-demand billing)</w:t>
            </w:r>
          </w:p>
        </w:tc>
      </w:tr>
      <w:tr>
        <w:tc>
          <w:tcPr>
            <w:tcW w:type="dxa" w:w="2160"/>
            <w:tcBorders>
              <w:top w:val="single" w:sz="4" w:color="C7CDBF"/>
              <w:left w:val="single" w:sz="4" w:color="C7CDBF"/>
              <w:bottom w:val="single" w:sz="4" w:color="C7CDBF"/>
              <w:right w:val="single" w:sz="4" w:color="C7CDBF"/>
            </w:tcBorders>
          </w:tcPr>
          <w:p>
            <w:r/>
            <w:r>
              <w:rPr>
                <w:color w:val="171A16"/>
                <w:sz w:val="21"/>
              </w:rPr>
              <w:t>Compute</w:t>
            </w:r>
          </w:p>
        </w:tc>
        <w:tc>
          <w:tcPr>
            <w:tcW w:type="dxa" w:w="6912"/>
            <w:tcBorders>
              <w:top w:val="single" w:sz="4" w:color="C7CDBF"/>
              <w:left w:val="single" w:sz="4" w:color="C7CDBF"/>
              <w:bottom w:val="single" w:sz="4" w:color="C7CDBF"/>
              <w:right w:val="single" w:sz="4" w:color="C7CDBF"/>
            </w:tcBorders>
          </w:tcPr>
          <w:p>
            <w:r/>
            <w:r>
              <w:rPr>
                <w:color w:val="171A16"/>
                <w:sz w:val="21"/>
              </w:rPr>
              <w:t>AWS App Runner (serverless containers)</w:t>
            </w:r>
          </w:p>
        </w:tc>
      </w:tr>
      <w:tr>
        <w:tc>
          <w:tcPr>
            <w:tcW w:type="dxa" w:w="2160"/>
            <w:tcBorders>
              <w:top w:val="single" w:sz="4" w:color="C7CDBF"/>
              <w:left w:val="single" w:sz="4" w:color="C7CDBF"/>
              <w:bottom w:val="single" w:sz="4" w:color="C7CDBF"/>
              <w:right w:val="single" w:sz="4" w:color="C7CDBF"/>
            </w:tcBorders>
          </w:tcPr>
          <w:p>
            <w:r/>
            <w:r>
              <w:rPr>
                <w:color w:val="171A16"/>
                <w:sz w:val="21"/>
              </w:rPr>
              <w:t>Delivery</w:t>
            </w:r>
          </w:p>
        </w:tc>
        <w:tc>
          <w:tcPr>
            <w:tcW w:type="dxa" w:w="6912"/>
            <w:tcBorders>
              <w:top w:val="single" w:sz="4" w:color="C7CDBF"/>
              <w:left w:val="single" w:sz="4" w:color="C7CDBF"/>
              <w:bottom w:val="single" w:sz="4" w:color="C7CDBF"/>
              <w:right w:val="single" w:sz="4" w:color="C7CDBF"/>
            </w:tcBorders>
          </w:tcPr>
          <w:p>
            <w:r/>
            <w:r>
              <w:rPr>
                <w:color w:val="171A16"/>
                <w:sz w:val="21"/>
              </w:rPr>
              <w:t>Amazon CloudFront + private S3</w:t>
            </w:r>
          </w:p>
        </w:tc>
      </w:tr>
      <w:tr>
        <w:tc>
          <w:tcPr>
            <w:tcW w:type="dxa" w:w="2160"/>
            <w:tcBorders>
              <w:top w:val="single" w:sz="4" w:color="C7CDBF"/>
              <w:left w:val="single" w:sz="4" w:color="C7CDBF"/>
              <w:bottom w:val="single" w:sz="4" w:color="C7CDBF"/>
              <w:right w:val="single" w:sz="4" w:color="C7CDBF"/>
            </w:tcBorders>
          </w:tcPr>
          <w:p>
            <w:r/>
            <w:r>
              <w:rPr>
                <w:color w:val="171A16"/>
                <w:sz w:val="21"/>
              </w:rPr>
              <w:t>CI/CD</w:t>
            </w:r>
          </w:p>
        </w:tc>
        <w:tc>
          <w:tcPr>
            <w:tcW w:type="dxa" w:w="6912"/>
            <w:tcBorders>
              <w:top w:val="single" w:sz="4" w:color="C7CDBF"/>
              <w:left w:val="single" w:sz="4" w:color="C7CDBF"/>
              <w:bottom w:val="single" w:sz="4" w:color="C7CDBF"/>
              <w:right w:val="single" w:sz="4" w:color="C7CDBF"/>
            </w:tcBorders>
          </w:tcPr>
          <w:p>
            <w:r/>
            <w:r>
              <w:rPr>
                <w:color w:val="171A16"/>
                <w:sz w:val="21"/>
              </w:rPr>
              <w:t>AWS CodeBuild (Docker build/push + frontend build/sync)</w:t>
            </w:r>
          </w:p>
        </w:tc>
      </w:tr>
    </w:tbl>
    <w:p>
      <w:pPr>
        <w:spacing w:after="80"/>
      </w:pPr>
    </w:p>
    <w:p>
      <w:pPr>
        <w:pStyle w:val="Heading1"/>
        <w:spacing w:before="360" w:after="160"/>
      </w:pPr>
      <w:r>
        <w:rPr>
          <w:b/>
          <w:color w:val="171A16"/>
          <w:sz w:val="40"/>
        </w:rPr>
        <w:t>2. Architecture</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240405"/>
                    </a:xfrm>
                    <a:prstGeom prst="rect"/>
                  </pic:spPr>
                </pic:pic>
              </a:graphicData>
            </a:graphic>
          </wp:inline>
        </w:drawing>
      </w:r>
    </w:p>
    <w:p>
      <w:pPr>
        <w:spacing w:after="280"/>
        <w:jc w:val="center"/>
      </w:pPr>
      <w:r>
        <w:rPr>
          <w:i/>
          <w:color w:val="5B645F"/>
          <w:sz w:val="19"/>
        </w:rPr>
        <w:t>Figure 1 — Request flow and build/deploy pipeline.</w:t>
      </w:r>
    </w:p>
    <w:p>
      <w:pPr>
        <w:pStyle w:val="Heading2"/>
        <w:spacing w:before="280" w:after="120"/>
      </w:pPr>
      <w:r>
        <w:rPr>
          <w:b/>
          <w:color w:val="2F6F5E"/>
          <w:sz w:val="28"/>
        </w:rPr>
        <w:t>Request flow</w:t>
      </w:r>
    </w:p>
    <w:p>
      <w:pPr>
        <w:pStyle w:val="ListBullet"/>
        <w:spacing w:after="120"/>
      </w:pPr>
      <w:r>
        <w:rPr>
          <w:color w:val="171A16"/>
          <w:sz w:val="22"/>
        </w:rPr>
        <w:t>The browser hits CloudFront (d2q0x1hrkokxho.cloudfront.net), the single public entry point.</w:t>
      </w:r>
    </w:p>
    <w:p>
      <w:pPr>
        <w:pStyle w:val="ListBullet"/>
        <w:spacing w:after="120"/>
      </w:pPr>
      <w:r>
        <w:rPr>
          <w:color w:val="171A16"/>
          <w:sz w:val="22"/>
        </w:rPr>
        <w:t>CloudFront routes by path: everything except /api/* goes to a private S3 bucket (via Origin Access Control); /api/* goes to AWS App Runner.</w:t>
      </w:r>
    </w:p>
    <w:p>
      <w:pPr>
        <w:pStyle w:val="ListBullet"/>
        <w:spacing w:after="120"/>
      </w:pPr>
      <w:r>
        <w:rPr>
          <w:color w:val="171A16"/>
          <w:sz w:val="22"/>
        </w:rPr>
        <w:t>App Runner reads/writes DynamoDB for all tenant, user, agent, and conversation data.</w:t>
      </w:r>
    </w:p>
    <w:p>
      <w:pPr>
        <w:pStyle w:val="ListBullet"/>
        <w:spacing w:after="120"/>
      </w:pPr>
      <w:r>
        <w:rPr>
          <w:color w:val="171A16"/>
          <w:sz w:val="22"/>
        </w:rPr>
        <w:t>Both frontend and API share one CloudFront domain, so no CORS configuration is needed.</w:t>
      </w:r>
    </w:p>
    <w:p>
      <w:pPr>
        <w:pStyle w:val="Heading2"/>
        <w:spacing w:before="280" w:after="120"/>
      </w:pPr>
      <w:r>
        <w:rPr>
          <w:b/>
          <w:color w:val="2F6F5E"/>
          <w:sz w:val="28"/>
        </w:rPr>
        <w:t>Why App Runner instead of ECS + ALB</w:t>
      </w:r>
    </w:p>
    <w:p>
      <w:pPr>
        <w:spacing w:after="160"/>
      </w:pPr>
      <w:r>
        <w:rPr>
          <w:i w:val="0"/>
          <w:color w:val="171A16"/>
          <w:sz w:val="22"/>
        </w:rPr>
        <w:t>App Runner runs the same Docker image with no VPC, no Application Load Balancer, and no fixed hourly charge for idle infrastructure — it scales with request volume, matching the “pay only for what's used” goal for this project. An ECS Fargate + ALB design was prototyped first but discarded in favor of App Runner once eligibility was confirmed on this AWS account.</w:t>
      </w:r>
    </w:p>
    <w:p>
      <w:pPr>
        <w:pStyle w:val="Heading2"/>
        <w:spacing w:before="280" w:after="120"/>
      </w:pPr>
      <w:r>
        <w:rPr>
          <w:b/>
          <w:color w:val="2F6F5E"/>
          <w:sz w:val="28"/>
        </w:rPr>
        <w:t>Build &amp; deploy pipeline</w:t>
      </w:r>
    </w:p>
    <w:p>
      <w:pPr>
        <w:pStyle w:val="ListBullet"/>
        <w:spacing w:after="120"/>
      </w:pPr>
      <w:r>
        <w:rPr>
          <w:color w:val="171A16"/>
          <w:sz w:val="22"/>
        </w:rPr>
        <w:t>Backend and frontend source is zipped and uploaded to an artifact S3 bucket.</w:t>
      </w:r>
    </w:p>
    <w:p>
      <w:pPr>
        <w:pStyle w:val="ListBullet"/>
        <w:spacing w:after="120"/>
      </w:pPr>
      <w:r>
        <w:rPr>
          <w:color w:val="171A16"/>
          <w:sz w:val="22"/>
        </w:rPr>
        <w:t>AWS CodeBuild builds the backend Docker image and pushes it to Amazon ECR, runs npm run build for the frontend and syncs output to the frontend S3 bucket, then invalidates the CloudFront cache.</w:t>
      </w:r>
    </w:p>
    <w:p>
      <w:pPr>
        <w:pStyle w:val="ListBullet"/>
        <w:spacing w:after="120"/>
      </w:pPr>
      <w:r>
        <w:rPr>
          <w:color w:val="171A16"/>
          <w:sz w:val="22"/>
        </w:rPr>
        <w:t>A separate apprunner:StartDeployment call rolls the new image out to App Runner (auto-deploy-on-push is intentionally disabled so deploys are explicit).</w:t>
      </w:r>
    </w:p>
    <w:p>
      <w:pPr>
        <w:pStyle w:val="Heading1"/>
        <w:spacing w:before="360" w:after="160"/>
      </w:pPr>
      <w:r>
        <w:rPr>
          <w:b/>
          <w:color w:val="171A16"/>
          <w:sz w:val="40"/>
        </w:rPr>
        <w:t>3. Database Schema (DynamoDB)</w:t>
      </w:r>
    </w:p>
    <w:p>
      <w:pPr>
        <w:spacing w:after="160"/>
      </w:pPr>
      <w:r>
        <w:rPr>
          <w:i w:val="0"/>
          <w:color w:val="171A16"/>
          <w:sz w:val="22"/>
        </w:rPr>
        <w:t>All tables use PAY_PER_REQUEST billing (no fixed cost, no capacity planning).</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736"/>
            <w:shd w:val="clear" w:color="auto" w:fill="DDE8E2"/>
            <w:tcBorders>
              <w:top w:val="single" w:sz="4" w:color="C7CDBF"/>
              <w:left w:val="single" w:sz="4" w:color="C7CDBF"/>
              <w:bottom w:val="single" w:sz="4" w:color="C7CDBF"/>
              <w:right w:val="single" w:sz="4" w:color="C7CDBF"/>
            </w:tcBorders>
          </w:tcPr>
          <w:p>
            <w:r/>
            <w:r>
              <w:rPr>
                <w:b/>
                <w:color w:val="2F6F5E"/>
                <w:sz w:val="18"/>
              </w:rPr>
              <w:t>TABLE</w:t>
            </w:r>
          </w:p>
        </w:tc>
        <w:tc>
          <w:tcPr>
            <w:tcW w:type="dxa" w:w="1296"/>
            <w:shd w:val="clear" w:color="auto" w:fill="DDE8E2"/>
            <w:tcBorders>
              <w:top w:val="single" w:sz="4" w:color="C7CDBF"/>
              <w:left w:val="single" w:sz="4" w:color="C7CDBF"/>
              <w:bottom w:val="single" w:sz="4" w:color="C7CDBF"/>
              <w:right w:val="single" w:sz="4" w:color="C7CDBF"/>
            </w:tcBorders>
          </w:tcPr>
          <w:p>
            <w:r/>
            <w:r>
              <w:rPr>
                <w:b/>
                <w:color w:val="2F6F5E"/>
                <w:sz w:val="18"/>
              </w:rPr>
              <w:t>PARTITION KEY</w:t>
            </w:r>
          </w:p>
        </w:tc>
        <w:tc>
          <w:tcPr>
            <w:tcW w:type="dxa" w:w="3024"/>
            <w:shd w:val="clear" w:color="auto" w:fill="DDE8E2"/>
            <w:tcBorders>
              <w:top w:val="single" w:sz="4" w:color="C7CDBF"/>
              <w:left w:val="single" w:sz="4" w:color="C7CDBF"/>
              <w:bottom w:val="single" w:sz="4" w:color="C7CDBF"/>
              <w:right w:val="single" w:sz="4" w:color="C7CDBF"/>
            </w:tcBorders>
          </w:tcPr>
          <w:p>
            <w:r/>
            <w:r>
              <w:rPr>
                <w:b/>
                <w:color w:val="2F6F5E"/>
                <w:sz w:val="18"/>
              </w:rPr>
              <w:t>GSI</w:t>
            </w:r>
          </w:p>
        </w:tc>
        <w:tc>
          <w:tcPr>
            <w:tcW w:type="dxa" w:w="2016"/>
            <w:shd w:val="clear" w:color="auto" w:fill="DDE8E2"/>
            <w:tcBorders>
              <w:top w:val="single" w:sz="4" w:color="C7CDBF"/>
              <w:left w:val="single" w:sz="4" w:color="C7CDBF"/>
              <w:bottom w:val="single" w:sz="4" w:color="C7CDBF"/>
              <w:right w:val="single" w:sz="4" w:color="C7CDBF"/>
            </w:tcBorders>
          </w:tcPr>
          <w:p>
            <w:r/>
            <w:r>
              <w:rPr>
                <w:b/>
                <w:color w:val="2F6F5E"/>
                <w:sz w:val="18"/>
              </w:rPr>
              <w:t>PURPOSE</w:t>
            </w:r>
          </w:p>
        </w:tc>
      </w:tr>
      <w:tr>
        <w:tc>
          <w:tcPr>
            <w:tcW w:type="dxa" w:w="2736"/>
            <w:tcBorders>
              <w:top w:val="single" w:sz="4" w:color="C7CDBF"/>
              <w:left w:val="single" w:sz="4" w:color="C7CDBF"/>
              <w:bottom w:val="single" w:sz="4" w:color="C7CDBF"/>
              <w:right w:val="single" w:sz="4" w:color="C7CDBF"/>
            </w:tcBorders>
          </w:tcPr>
          <w:p>
            <w:r/>
            <w:r>
              <w:rPr>
                <w:rFonts w:ascii="Consolas" w:hAnsi="Consolas"/>
                <w:b w:val="0"/>
                <w:color w:val="171A16"/>
                <w:sz w:val="19"/>
              </w:rPr>
              <w:t>nexussupport-tenants</w:t>
            </w:r>
          </w:p>
        </w:tc>
        <w:tc>
          <w:tcPr>
            <w:tcW w:type="dxa" w:w="1296"/>
            <w:tcBorders>
              <w:top w:val="single" w:sz="4" w:color="C7CDBF"/>
              <w:left w:val="single" w:sz="4" w:color="C7CDBF"/>
              <w:bottom w:val="single" w:sz="4" w:color="C7CDBF"/>
              <w:right w:val="single" w:sz="4" w:color="C7CDBF"/>
            </w:tcBorders>
          </w:tcPr>
          <w:p>
            <w:r/>
            <w:r>
              <w:rPr>
                <w:rFonts w:ascii="Consolas" w:hAnsi="Consolas"/>
                <w:b w:val="0"/>
                <w:color w:val="171A16"/>
                <w:sz w:val="19"/>
              </w:rPr>
              <w:t>id</w:t>
            </w:r>
          </w:p>
        </w:tc>
        <w:tc>
          <w:tcPr>
            <w:tcW w:type="dxa" w:w="3024"/>
            <w:tcBorders>
              <w:top w:val="single" w:sz="4" w:color="C7CDBF"/>
              <w:left w:val="single" w:sz="4" w:color="C7CDBF"/>
              <w:bottom w:val="single" w:sz="4" w:color="C7CDBF"/>
              <w:right w:val="single" w:sz="4" w:color="C7CDBF"/>
            </w:tcBorders>
          </w:tcPr>
          <w:p>
            <w:r/>
            <w:r>
              <w:rPr>
                <w:rFonts w:ascii="Consolas" w:hAnsi="Consolas"/>
                <w:b w:val="0"/>
                <w:color w:val="171A16"/>
                <w:sz w:val="19"/>
              </w:rPr>
              <w:t>—</w:t>
            </w:r>
          </w:p>
        </w:tc>
        <w:tc>
          <w:tcPr>
            <w:tcW w:type="dxa" w:w="2016"/>
            <w:tcBorders>
              <w:top w:val="single" w:sz="4" w:color="C7CDBF"/>
              <w:left w:val="single" w:sz="4" w:color="C7CDBF"/>
              <w:bottom w:val="single" w:sz="4" w:color="C7CDBF"/>
              <w:right w:val="single" w:sz="4" w:color="C7CDBF"/>
            </w:tcBorders>
          </w:tcPr>
          <w:p>
            <w:r/>
            <w:r>
              <w:rPr>
                <w:color w:val="171A16"/>
                <w:sz w:val="21"/>
              </w:rPr>
              <w:t>Tenant profile + per-tenant settings</w:t>
            </w:r>
          </w:p>
        </w:tc>
      </w:tr>
      <w:tr>
        <w:tc>
          <w:tcPr>
            <w:tcW w:type="dxa" w:w="2736"/>
            <w:tcBorders>
              <w:top w:val="single" w:sz="4" w:color="C7CDBF"/>
              <w:left w:val="single" w:sz="4" w:color="C7CDBF"/>
              <w:bottom w:val="single" w:sz="4" w:color="C7CDBF"/>
              <w:right w:val="single" w:sz="4" w:color="C7CDBF"/>
            </w:tcBorders>
          </w:tcPr>
          <w:p>
            <w:r/>
            <w:r>
              <w:rPr>
                <w:rFonts w:ascii="Consolas" w:hAnsi="Consolas"/>
                <w:b w:val="0"/>
                <w:color w:val="171A16"/>
                <w:sz w:val="19"/>
              </w:rPr>
              <w:t>nexussupport-users</w:t>
            </w:r>
          </w:p>
        </w:tc>
        <w:tc>
          <w:tcPr>
            <w:tcW w:type="dxa" w:w="1296"/>
            <w:tcBorders>
              <w:top w:val="single" w:sz="4" w:color="C7CDBF"/>
              <w:left w:val="single" w:sz="4" w:color="C7CDBF"/>
              <w:bottom w:val="single" w:sz="4" w:color="C7CDBF"/>
              <w:right w:val="single" w:sz="4" w:color="C7CDBF"/>
            </w:tcBorders>
          </w:tcPr>
          <w:p>
            <w:r/>
            <w:r>
              <w:rPr>
                <w:rFonts w:ascii="Consolas" w:hAnsi="Consolas"/>
                <w:b w:val="0"/>
                <w:color w:val="171A16"/>
                <w:sz w:val="19"/>
              </w:rPr>
              <w:t>id</w:t>
            </w:r>
          </w:p>
        </w:tc>
        <w:tc>
          <w:tcPr>
            <w:tcW w:type="dxa" w:w="3024"/>
            <w:tcBorders>
              <w:top w:val="single" w:sz="4" w:color="C7CDBF"/>
              <w:left w:val="single" w:sz="4" w:color="C7CDBF"/>
              <w:bottom w:val="single" w:sz="4" w:color="C7CDBF"/>
              <w:right w:val="single" w:sz="4" w:color="C7CDBF"/>
            </w:tcBorders>
          </w:tcPr>
          <w:p>
            <w:r/>
            <w:r>
              <w:rPr>
                <w:rFonts w:ascii="Consolas" w:hAnsi="Consolas"/>
                <w:b w:val="0"/>
                <w:color w:val="171A16"/>
                <w:sz w:val="19"/>
              </w:rPr>
              <w:t>email-index (PK: email)</w:t>
            </w:r>
          </w:p>
        </w:tc>
        <w:tc>
          <w:tcPr>
            <w:tcW w:type="dxa" w:w="2016"/>
            <w:tcBorders>
              <w:top w:val="single" w:sz="4" w:color="C7CDBF"/>
              <w:left w:val="single" w:sz="4" w:color="C7CDBF"/>
              <w:bottom w:val="single" w:sz="4" w:color="C7CDBF"/>
              <w:right w:val="single" w:sz="4" w:color="C7CDBF"/>
            </w:tcBorders>
          </w:tcPr>
          <w:p>
            <w:r/>
            <w:r>
              <w:rPr>
                <w:color w:val="171A16"/>
                <w:sz w:val="21"/>
              </w:rPr>
              <w:t>Login lookup by email</w:t>
            </w:r>
          </w:p>
        </w:tc>
      </w:tr>
      <w:tr>
        <w:tc>
          <w:tcPr>
            <w:tcW w:type="dxa" w:w="2736"/>
            <w:tcBorders>
              <w:top w:val="single" w:sz="4" w:color="C7CDBF"/>
              <w:left w:val="single" w:sz="4" w:color="C7CDBF"/>
              <w:bottom w:val="single" w:sz="4" w:color="C7CDBF"/>
              <w:right w:val="single" w:sz="4" w:color="C7CDBF"/>
            </w:tcBorders>
          </w:tcPr>
          <w:p>
            <w:r/>
            <w:r>
              <w:rPr>
                <w:rFonts w:ascii="Consolas" w:hAnsi="Consolas"/>
                <w:b w:val="0"/>
                <w:color w:val="171A16"/>
                <w:sz w:val="19"/>
              </w:rPr>
              <w:t>nexussupport-agents</w:t>
            </w:r>
          </w:p>
        </w:tc>
        <w:tc>
          <w:tcPr>
            <w:tcW w:type="dxa" w:w="1296"/>
            <w:tcBorders>
              <w:top w:val="single" w:sz="4" w:color="C7CDBF"/>
              <w:left w:val="single" w:sz="4" w:color="C7CDBF"/>
              <w:bottom w:val="single" w:sz="4" w:color="C7CDBF"/>
              <w:right w:val="single" w:sz="4" w:color="C7CDBF"/>
            </w:tcBorders>
          </w:tcPr>
          <w:p>
            <w:r/>
            <w:r>
              <w:rPr>
                <w:rFonts w:ascii="Consolas" w:hAnsi="Consolas"/>
                <w:b w:val="0"/>
                <w:color w:val="171A16"/>
                <w:sz w:val="19"/>
              </w:rPr>
              <w:t>id</w:t>
            </w:r>
          </w:p>
        </w:tc>
        <w:tc>
          <w:tcPr>
            <w:tcW w:type="dxa" w:w="3024"/>
            <w:tcBorders>
              <w:top w:val="single" w:sz="4" w:color="C7CDBF"/>
              <w:left w:val="single" w:sz="4" w:color="C7CDBF"/>
              <w:bottom w:val="single" w:sz="4" w:color="C7CDBF"/>
              <w:right w:val="single" w:sz="4" w:color="C7CDBF"/>
            </w:tcBorders>
          </w:tcPr>
          <w:p>
            <w:r/>
            <w:r>
              <w:rPr>
                <w:rFonts w:ascii="Consolas" w:hAnsi="Consolas"/>
                <w:b w:val="0"/>
                <w:color w:val="171A16"/>
                <w:sz w:val="19"/>
              </w:rPr>
              <w:t>tenantId-index (PK: tenantId)</w:t>
            </w:r>
          </w:p>
        </w:tc>
        <w:tc>
          <w:tcPr>
            <w:tcW w:type="dxa" w:w="2016"/>
            <w:tcBorders>
              <w:top w:val="single" w:sz="4" w:color="C7CDBF"/>
              <w:left w:val="single" w:sz="4" w:color="C7CDBF"/>
              <w:bottom w:val="single" w:sz="4" w:color="C7CDBF"/>
              <w:right w:val="single" w:sz="4" w:color="C7CDBF"/>
            </w:tcBorders>
          </w:tcPr>
          <w:p>
            <w:r/>
            <w:r>
              <w:rPr>
                <w:color w:val="171A16"/>
                <w:sz w:val="21"/>
              </w:rPr>
              <w:t>AI agent roster per tenant</w:t>
            </w:r>
          </w:p>
        </w:tc>
      </w:tr>
      <w:tr>
        <w:tc>
          <w:tcPr>
            <w:tcW w:type="dxa" w:w="2736"/>
            <w:tcBorders>
              <w:top w:val="single" w:sz="4" w:color="C7CDBF"/>
              <w:left w:val="single" w:sz="4" w:color="C7CDBF"/>
              <w:bottom w:val="single" w:sz="4" w:color="C7CDBF"/>
              <w:right w:val="single" w:sz="4" w:color="C7CDBF"/>
            </w:tcBorders>
          </w:tcPr>
          <w:p>
            <w:r/>
            <w:r>
              <w:rPr>
                <w:rFonts w:ascii="Consolas" w:hAnsi="Consolas"/>
                <w:b w:val="0"/>
                <w:color w:val="171A16"/>
                <w:sz w:val="19"/>
              </w:rPr>
              <w:t>nexussupport-conversations</w:t>
            </w:r>
          </w:p>
        </w:tc>
        <w:tc>
          <w:tcPr>
            <w:tcW w:type="dxa" w:w="1296"/>
            <w:tcBorders>
              <w:top w:val="single" w:sz="4" w:color="C7CDBF"/>
              <w:left w:val="single" w:sz="4" w:color="C7CDBF"/>
              <w:bottom w:val="single" w:sz="4" w:color="C7CDBF"/>
              <w:right w:val="single" w:sz="4" w:color="C7CDBF"/>
            </w:tcBorders>
          </w:tcPr>
          <w:p>
            <w:r/>
            <w:r>
              <w:rPr>
                <w:rFonts w:ascii="Consolas" w:hAnsi="Consolas"/>
                <w:b w:val="0"/>
                <w:color w:val="171A16"/>
                <w:sz w:val="19"/>
              </w:rPr>
              <w:t>id</w:t>
            </w:r>
          </w:p>
        </w:tc>
        <w:tc>
          <w:tcPr>
            <w:tcW w:type="dxa" w:w="3024"/>
            <w:tcBorders>
              <w:top w:val="single" w:sz="4" w:color="C7CDBF"/>
              <w:left w:val="single" w:sz="4" w:color="C7CDBF"/>
              <w:bottom w:val="single" w:sz="4" w:color="C7CDBF"/>
              <w:right w:val="single" w:sz="4" w:color="C7CDBF"/>
            </w:tcBorders>
          </w:tcPr>
          <w:p>
            <w:r/>
            <w:r>
              <w:rPr>
                <w:rFonts w:ascii="Consolas" w:hAnsi="Consolas"/>
                <w:b w:val="0"/>
                <w:color w:val="171A16"/>
                <w:sz w:val="19"/>
              </w:rPr>
              <w:t>tenantId-index (PK: tenantId, SK: updatedAt)</w:t>
            </w:r>
          </w:p>
        </w:tc>
        <w:tc>
          <w:tcPr>
            <w:tcW w:type="dxa" w:w="2016"/>
            <w:tcBorders>
              <w:top w:val="single" w:sz="4" w:color="C7CDBF"/>
              <w:left w:val="single" w:sz="4" w:color="C7CDBF"/>
              <w:bottom w:val="single" w:sz="4" w:color="C7CDBF"/>
              <w:right w:val="single" w:sz="4" w:color="C7CDBF"/>
            </w:tcBorders>
          </w:tcPr>
          <w:p>
            <w:r/>
            <w:r>
              <w:rPr>
                <w:color w:val="171A16"/>
                <w:sz w:val="21"/>
              </w:rPr>
              <w:t>Support conversations per tenant</w:t>
            </w:r>
          </w:p>
        </w:tc>
      </w:tr>
    </w:tbl>
    <w:p>
      <w:pPr>
        <w:spacing w:after="80"/>
      </w:pPr>
    </w:p>
    <w:p>
      <w:pPr>
        <w:spacing w:after="160"/>
      </w:pPr>
      <w:r>
        <w:rPr>
          <w:i w:val="0"/>
          <w:color w:val="171A16"/>
          <w:sz w:val="22"/>
        </w:rPr>
        <w:t>Conversation messages are generated deterministically from each conversation record at read time rather than stored as separate rows — there is currently no API endpoint that creates new messages, so this mirrors the original demo behavior exactly while everything that is written (tenant settings, seeded records) persists for real.</w:t>
      </w:r>
    </w:p>
    <w:p>
      <w:pPr>
        <w:pStyle w:val="Heading1"/>
        <w:spacing w:before="360" w:after="160"/>
      </w:pPr>
      <w:r>
        <w:rPr>
          <w:b/>
          <w:color w:val="171A16"/>
          <w:sz w:val="40"/>
        </w:rPr>
        <w:t>4. Security &amp; IAM</w:t>
      </w:r>
    </w:p>
    <w:p>
      <w:pPr>
        <w:pStyle w:val="ListBullet"/>
        <w:spacing w:after="120"/>
      </w:pPr>
      <w:r>
        <w:rPr>
          <w:color w:val="171A16"/>
          <w:sz w:val="22"/>
        </w:rPr>
        <w:t>A dedicated nexussupport-deployer IAM user (not the AWS account root) is used for all deployments, scoped to only the services this project needs.</w:t>
      </w:r>
    </w:p>
    <w:p>
      <w:pPr>
        <w:pStyle w:val="ListBullet"/>
        <w:spacing w:after="120"/>
      </w:pPr>
      <w:r>
        <w:rPr>
          <w:color w:val="171A16"/>
          <w:sz w:val="22"/>
        </w:rPr>
        <w:t>CodeBuild role — permissions limited to this project's ECR repo, its two S3 buckets, and CloudFront invalidation.</w:t>
      </w:r>
    </w:p>
    <w:p>
      <w:pPr>
        <w:pStyle w:val="ListBullet"/>
        <w:spacing w:after="120"/>
      </w:pPr>
      <w:r>
        <w:rPr>
          <w:color w:val="171A16"/>
          <w:sz w:val="22"/>
        </w:rPr>
        <w:t>App Runner ECR-access role — only allowed to pull from ECR (AWSAppRunnerServicePolicyForECRAccess).</w:t>
      </w:r>
    </w:p>
    <w:p>
      <w:pPr>
        <w:pStyle w:val="ListBullet"/>
        <w:spacing w:after="120"/>
      </w:pPr>
      <w:r>
        <w:rPr>
          <w:color w:val="171A16"/>
          <w:sz w:val="22"/>
        </w:rPr>
        <w:t>App Runner instance role — separate from the ECR-access role, scoped to GetItem/PutItem/UpdateItem/DeleteItem/Query/Scan on only the 4 DynamoDB tables (plus their indexes) this app owns.</w:t>
      </w:r>
    </w:p>
    <w:p>
      <w:pPr>
        <w:pStyle w:val="ListBullet"/>
        <w:spacing w:after="120"/>
      </w:pPr>
      <w:r>
        <w:rPr>
          <w:color w:val="171A16"/>
          <w:sz w:val="22"/>
        </w:rPr>
        <w:t>The frontend S3 bucket is fully private; CloudFront reaches it only via Origin Access Control, satisfying the account's S3 Block Public Access setting rather than working around it.</w:t>
      </w:r>
    </w:p>
    <w:p>
      <w:pPr>
        <w:pStyle w:val="ListBullet"/>
        <w:spacing w:after="120"/>
      </w:pPr>
      <w:r>
        <w:rPr>
          <w:color w:val="171A16"/>
          <w:sz w:val="22"/>
        </w:rPr>
        <w:t>Secrets (JWT signing secret, Anthropic API key) are passed as CloudFormation NoEcho parameters and injected as App Runner runtime environment variables — never committed to source control.</w:t>
      </w:r>
    </w:p>
    <w:p>
      <w:pPr>
        <w:pStyle w:val="Heading1"/>
        <w:spacing w:before="360" w:after="160"/>
      </w:pPr>
      <w:r>
        <w:rPr>
          <w:b/>
          <w:color w:val="171A16"/>
          <w:sz w:val="40"/>
        </w:rPr>
        <w:t>5. Cost Model</w:t>
      </w:r>
    </w:p>
    <w:p>
      <w:pPr>
        <w:spacing w:after="160"/>
      </w:pPr>
      <w:r>
        <w:rPr>
          <w:i w:val="0"/>
          <w:color w:val="171A16"/>
          <w:sz w:val="22"/>
        </w:rPr>
        <w:t>Every layer in this stack is consumption-based:</w:t>
      </w:r>
    </w:p>
    <w:tbl>
      <w:tblPr>
        <w:tblW w:type="auto" w:w="0"/>
        <w:jc w:val="left"/>
        <w:tblLayout w:type="autofit"/>
        <w:tblLook w:firstColumn="1" w:firstRow="1" w:lastColumn="0" w:lastRow="0" w:noHBand="0" w:noVBand="1" w:val="04A0"/>
      </w:tblPr>
      <w:tblGrid>
        <w:gridCol w:w="4680"/>
        <w:gridCol w:w="4680"/>
      </w:tblGrid>
      <w:tr>
        <w:tc>
          <w:tcPr>
            <w:tcW w:type="dxa" w:w="2880"/>
            <w:shd w:val="clear" w:color="auto" w:fill="DDE8E2"/>
            <w:tcBorders>
              <w:top w:val="single" w:sz="4" w:color="C7CDBF"/>
              <w:left w:val="single" w:sz="4" w:color="C7CDBF"/>
              <w:bottom w:val="single" w:sz="4" w:color="C7CDBF"/>
              <w:right w:val="single" w:sz="4" w:color="C7CDBF"/>
            </w:tcBorders>
          </w:tcPr>
          <w:p>
            <w:r/>
            <w:r>
              <w:rPr>
                <w:b/>
                <w:color w:val="2F6F5E"/>
                <w:sz w:val="18"/>
              </w:rPr>
              <w:t>COMPONENT</w:t>
            </w:r>
          </w:p>
        </w:tc>
        <w:tc>
          <w:tcPr>
            <w:tcW w:type="dxa" w:w="6192"/>
            <w:shd w:val="clear" w:color="auto" w:fill="DDE8E2"/>
            <w:tcBorders>
              <w:top w:val="single" w:sz="4" w:color="C7CDBF"/>
              <w:left w:val="single" w:sz="4" w:color="C7CDBF"/>
              <w:bottom w:val="single" w:sz="4" w:color="C7CDBF"/>
              <w:right w:val="single" w:sz="4" w:color="C7CDBF"/>
            </w:tcBorders>
          </w:tcPr>
          <w:p>
            <w:r/>
            <w:r>
              <w:rPr>
                <w:b/>
                <w:color w:val="2F6F5E"/>
                <w:sz w:val="18"/>
              </w:rPr>
              <w:t>PRICING MODEL</w:t>
            </w:r>
          </w:p>
        </w:tc>
      </w:tr>
      <w:tr>
        <w:tc>
          <w:tcPr>
            <w:tcW w:type="dxa" w:w="2880"/>
            <w:tcBorders>
              <w:top w:val="single" w:sz="4" w:color="C7CDBF"/>
              <w:left w:val="single" w:sz="4" w:color="C7CDBF"/>
              <w:bottom w:val="single" w:sz="4" w:color="C7CDBF"/>
              <w:right w:val="single" w:sz="4" w:color="C7CDBF"/>
            </w:tcBorders>
          </w:tcPr>
          <w:p>
            <w:r/>
            <w:r>
              <w:rPr>
                <w:color w:val="171A16"/>
                <w:sz w:val="21"/>
              </w:rPr>
              <w:t>App Runner</w:t>
            </w:r>
          </w:p>
        </w:tc>
        <w:tc>
          <w:tcPr>
            <w:tcW w:type="dxa" w:w="6192"/>
            <w:tcBorders>
              <w:top w:val="single" w:sz="4" w:color="C7CDBF"/>
              <w:left w:val="single" w:sz="4" w:color="C7CDBF"/>
              <w:bottom w:val="single" w:sz="4" w:color="C7CDBF"/>
              <w:right w:val="single" w:sz="4" w:color="C7CDBF"/>
            </w:tcBorders>
          </w:tcPr>
          <w:p>
            <w:r/>
            <w:r>
              <w:rPr>
                <w:color w:val="171A16"/>
                <w:sz w:val="21"/>
              </w:rPr>
              <w:t>Per vCPU-second / GB-second while handling requests</w:t>
            </w:r>
          </w:p>
        </w:tc>
      </w:tr>
      <w:tr>
        <w:tc>
          <w:tcPr>
            <w:tcW w:type="dxa" w:w="2880"/>
            <w:tcBorders>
              <w:top w:val="single" w:sz="4" w:color="C7CDBF"/>
              <w:left w:val="single" w:sz="4" w:color="C7CDBF"/>
              <w:bottom w:val="single" w:sz="4" w:color="C7CDBF"/>
              <w:right w:val="single" w:sz="4" w:color="C7CDBF"/>
            </w:tcBorders>
          </w:tcPr>
          <w:p>
            <w:r/>
            <w:r>
              <w:rPr>
                <w:color w:val="171A16"/>
                <w:sz w:val="21"/>
              </w:rPr>
              <w:t>DynamoDB</w:t>
            </w:r>
          </w:p>
        </w:tc>
        <w:tc>
          <w:tcPr>
            <w:tcW w:type="dxa" w:w="6192"/>
            <w:tcBorders>
              <w:top w:val="single" w:sz="4" w:color="C7CDBF"/>
              <w:left w:val="single" w:sz="4" w:color="C7CDBF"/>
              <w:bottom w:val="single" w:sz="4" w:color="C7CDBF"/>
              <w:right w:val="single" w:sz="4" w:color="C7CDBF"/>
            </w:tcBorders>
          </w:tcPr>
          <w:p>
            <w:r/>
            <w:r>
              <w:rPr>
                <w:color w:val="171A16"/>
                <w:sz w:val="21"/>
              </w:rPr>
              <w:t>Per request (PAY_PER_REQUEST) + storage</w:t>
            </w:r>
          </w:p>
        </w:tc>
      </w:tr>
      <w:tr>
        <w:tc>
          <w:tcPr>
            <w:tcW w:type="dxa" w:w="2880"/>
            <w:tcBorders>
              <w:top w:val="single" w:sz="4" w:color="C7CDBF"/>
              <w:left w:val="single" w:sz="4" w:color="C7CDBF"/>
              <w:bottom w:val="single" w:sz="4" w:color="C7CDBF"/>
              <w:right w:val="single" w:sz="4" w:color="C7CDBF"/>
            </w:tcBorders>
          </w:tcPr>
          <w:p>
            <w:r/>
            <w:r>
              <w:rPr>
                <w:color w:val="171A16"/>
                <w:sz w:val="21"/>
              </w:rPr>
              <w:t>S3 + CloudFront</w:t>
            </w:r>
          </w:p>
        </w:tc>
        <w:tc>
          <w:tcPr>
            <w:tcW w:type="dxa" w:w="6192"/>
            <w:tcBorders>
              <w:top w:val="single" w:sz="4" w:color="C7CDBF"/>
              <w:left w:val="single" w:sz="4" w:color="C7CDBF"/>
              <w:bottom w:val="single" w:sz="4" w:color="C7CDBF"/>
              <w:right w:val="single" w:sz="4" w:color="C7CDBF"/>
            </w:tcBorders>
          </w:tcPr>
          <w:p>
            <w:r/>
            <w:r>
              <w:rPr>
                <w:color w:val="171A16"/>
                <w:sz w:val="21"/>
              </w:rPr>
              <w:t>Per GB stored / transferred + per request</w:t>
            </w:r>
          </w:p>
        </w:tc>
      </w:tr>
      <w:tr>
        <w:tc>
          <w:tcPr>
            <w:tcW w:type="dxa" w:w="2880"/>
            <w:tcBorders>
              <w:top w:val="single" w:sz="4" w:color="C7CDBF"/>
              <w:left w:val="single" w:sz="4" w:color="C7CDBF"/>
              <w:bottom w:val="single" w:sz="4" w:color="C7CDBF"/>
              <w:right w:val="single" w:sz="4" w:color="C7CDBF"/>
            </w:tcBorders>
          </w:tcPr>
          <w:p>
            <w:r/>
            <w:r>
              <w:rPr>
                <w:color w:val="171A16"/>
                <w:sz w:val="21"/>
              </w:rPr>
              <w:t>ECR</w:t>
            </w:r>
          </w:p>
        </w:tc>
        <w:tc>
          <w:tcPr>
            <w:tcW w:type="dxa" w:w="6192"/>
            <w:tcBorders>
              <w:top w:val="single" w:sz="4" w:color="C7CDBF"/>
              <w:left w:val="single" w:sz="4" w:color="C7CDBF"/>
              <w:bottom w:val="single" w:sz="4" w:color="C7CDBF"/>
              <w:right w:val="single" w:sz="4" w:color="C7CDBF"/>
            </w:tcBorders>
          </w:tcPr>
          <w:p>
            <w:r/>
            <w:r>
              <w:rPr>
                <w:color w:val="171A16"/>
                <w:sz w:val="21"/>
              </w:rPr>
              <w:t>Per GB of image storage</w:t>
            </w:r>
          </w:p>
        </w:tc>
      </w:tr>
      <w:tr>
        <w:tc>
          <w:tcPr>
            <w:tcW w:type="dxa" w:w="2880"/>
            <w:tcBorders>
              <w:top w:val="single" w:sz="4" w:color="C7CDBF"/>
              <w:left w:val="single" w:sz="4" w:color="C7CDBF"/>
              <w:bottom w:val="single" w:sz="4" w:color="C7CDBF"/>
              <w:right w:val="single" w:sz="4" w:color="C7CDBF"/>
            </w:tcBorders>
          </w:tcPr>
          <w:p>
            <w:r/>
            <w:r>
              <w:rPr>
                <w:color w:val="171A16"/>
                <w:sz w:val="21"/>
              </w:rPr>
              <w:t>CodeBuild</w:t>
            </w:r>
          </w:p>
        </w:tc>
        <w:tc>
          <w:tcPr>
            <w:tcW w:type="dxa" w:w="6192"/>
            <w:tcBorders>
              <w:top w:val="single" w:sz="4" w:color="C7CDBF"/>
              <w:left w:val="single" w:sz="4" w:color="C7CDBF"/>
              <w:bottom w:val="single" w:sz="4" w:color="C7CDBF"/>
              <w:right w:val="single" w:sz="4" w:color="C7CDBF"/>
            </w:tcBorders>
          </w:tcPr>
          <w:p>
            <w:r/>
            <w:r>
              <w:rPr>
                <w:color w:val="171A16"/>
                <w:sz w:val="21"/>
              </w:rPr>
              <w:t>Per build-minute (only runs on deploy)</w:t>
            </w:r>
          </w:p>
        </w:tc>
      </w:tr>
    </w:tbl>
    <w:p>
      <w:pPr>
        <w:spacing w:after="80"/>
      </w:pPr>
    </w:p>
    <w:p>
      <w:pPr>
        <w:spacing w:after="160"/>
      </w:pPr>
      <w:r>
        <w:rPr>
          <w:i w:val="0"/>
          <w:color w:val="171A16"/>
          <w:sz w:val="22"/>
        </w:rPr>
        <w:t>There is no idle fixed-cost component (no ALB, no NAT gateway, no provisioned database capacity).</w:t>
      </w:r>
    </w:p>
    <w:p>
      <w:pPr>
        <w:pStyle w:val="Heading1"/>
        <w:spacing w:before="360" w:after="160"/>
      </w:pPr>
      <w:r>
        <w:rPr>
          <w:b/>
          <w:color w:val="171A16"/>
          <w:sz w:val="40"/>
        </w:rPr>
        <w:t>6. Known Limitations</w:t>
      </w:r>
    </w:p>
    <w:p>
      <w:pPr>
        <w:spacing w:before="120" w:after="240"/>
        <w:ind w:left="216"/>
      </w:pPr>
      <w:r>
        <w:rPr>
          <w:b/>
          <w:color w:val="A8501F"/>
          <w:sz w:val="20"/>
        </w:rPr>
        <w:t xml:space="preserve">AI NOT WIRED UP:  </w:t>
      </w:r>
      <w:r>
        <w:rPr>
          <w:color w:val="171A16"/>
          <w:sz w:val="21"/>
        </w:rPr>
        <w:t>Tenant records reference AI model names (claude-sonnet-4-6, etc.) and an AnthropicKey parameter exists in the stack, but the backend does not currently call the Anthropic API — conversation content is demo/seed data.</w:t>
      </w:r>
    </w:p>
    <w:p>
      <w:pPr>
        <w:pStyle w:val="ListBullet"/>
        <w:spacing w:after="120"/>
      </w:pPr>
      <w:r>
        <w:rPr>
          <w:color w:val="171A16"/>
          <w:sz w:val="22"/>
        </w:rPr>
        <w:t>Conversation messages are generated, not stored — see Section 3.</w:t>
      </w:r>
    </w:p>
    <w:p>
      <w:pPr>
        <w:pStyle w:val="ListBullet"/>
        <w:spacing w:after="120"/>
      </w:pPr>
      <w:r>
        <w:rPr>
          <w:color w:val="171A16"/>
          <w:sz w:val="22"/>
        </w:rPr>
        <w:t>Voice pipeline (Twilio/Deepgram/ElevenLabs) referenced in the README is not implemented in this deployment; it is UI/demo only.</w:t>
      </w:r>
    </w:p>
    <w:p>
      <w:pPr>
        <w:pStyle w:val="Heading1"/>
        <w:spacing w:before="360" w:after="160"/>
      </w:pPr>
      <w:r>
        <w:rPr>
          <w:b/>
          <w:color w:val="171A16"/>
          <w:sz w:val="40"/>
        </w:rPr>
        <w:t>7. Demo Access</w:t>
      </w:r>
    </w:p>
    <w:tbl>
      <w:tblPr>
        <w:tblW w:type="auto" w:w="0"/>
        <w:jc w:val="left"/>
        <w:tblLayout w:type="autofit"/>
        <w:tblLook w:firstColumn="1" w:firstRow="1" w:lastColumn="0" w:lastRow="0" w:noHBand="0" w:noVBand="1" w:val="04A0"/>
      </w:tblPr>
      <w:tblGrid>
        <w:gridCol w:w="3120"/>
        <w:gridCol w:w="3120"/>
        <w:gridCol w:w="3120"/>
      </w:tblGrid>
      <w:tr>
        <w:tc>
          <w:tcPr>
            <w:tcW w:type="dxa" w:w="2304"/>
            <w:shd w:val="clear" w:color="auto" w:fill="DDE8E2"/>
            <w:tcBorders>
              <w:top w:val="single" w:sz="4" w:color="C7CDBF"/>
              <w:left w:val="single" w:sz="4" w:color="C7CDBF"/>
              <w:bottom w:val="single" w:sz="4" w:color="C7CDBF"/>
              <w:right w:val="single" w:sz="4" w:color="C7CDBF"/>
            </w:tcBorders>
          </w:tcPr>
          <w:p>
            <w:r/>
            <w:r>
              <w:rPr>
                <w:b/>
                <w:color w:val="2F6F5E"/>
                <w:sz w:val="18"/>
              </w:rPr>
              <w:t>ROLE</w:t>
            </w:r>
          </w:p>
        </w:tc>
        <w:tc>
          <w:tcPr>
            <w:tcW w:type="dxa" w:w="4032"/>
            <w:shd w:val="clear" w:color="auto" w:fill="DDE8E2"/>
            <w:tcBorders>
              <w:top w:val="single" w:sz="4" w:color="C7CDBF"/>
              <w:left w:val="single" w:sz="4" w:color="C7CDBF"/>
              <w:bottom w:val="single" w:sz="4" w:color="C7CDBF"/>
              <w:right w:val="single" w:sz="4" w:color="C7CDBF"/>
            </w:tcBorders>
          </w:tcPr>
          <w:p>
            <w:r/>
            <w:r>
              <w:rPr>
                <w:b/>
                <w:color w:val="2F6F5E"/>
                <w:sz w:val="18"/>
              </w:rPr>
              <w:t>EMAIL</w:t>
            </w:r>
          </w:p>
        </w:tc>
        <w:tc>
          <w:tcPr>
            <w:tcW w:type="dxa" w:w="1872"/>
            <w:shd w:val="clear" w:color="auto" w:fill="DDE8E2"/>
            <w:tcBorders>
              <w:top w:val="single" w:sz="4" w:color="C7CDBF"/>
              <w:left w:val="single" w:sz="4" w:color="C7CDBF"/>
              <w:bottom w:val="single" w:sz="4" w:color="C7CDBF"/>
              <w:right w:val="single" w:sz="4" w:color="C7CDBF"/>
            </w:tcBorders>
          </w:tcPr>
          <w:p>
            <w:r/>
            <w:r>
              <w:rPr>
                <w:b/>
                <w:color w:val="2F6F5E"/>
                <w:sz w:val="18"/>
              </w:rPr>
              <w:t>PASSWORD</w:t>
            </w:r>
          </w:p>
        </w:tc>
      </w:tr>
      <w:tr>
        <w:tc>
          <w:tcPr>
            <w:tcW w:type="dxa" w:w="2304"/>
            <w:tcBorders>
              <w:top w:val="single" w:sz="4" w:color="C7CDBF"/>
              <w:left w:val="single" w:sz="4" w:color="C7CDBF"/>
              <w:bottom w:val="single" w:sz="4" w:color="C7CDBF"/>
              <w:right w:val="single" w:sz="4" w:color="C7CDBF"/>
            </w:tcBorders>
          </w:tcPr>
          <w:p>
            <w:r/>
            <w:r>
              <w:rPr>
                <w:color w:val="171A16"/>
                <w:sz w:val="21"/>
              </w:rPr>
              <w:t>ShopNow Admin</w:t>
            </w:r>
          </w:p>
        </w:tc>
        <w:tc>
          <w:tcPr>
            <w:tcW w:type="dxa" w:w="4032"/>
            <w:tcBorders>
              <w:top w:val="single" w:sz="4" w:color="C7CDBF"/>
              <w:left w:val="single" w:sz="4" w:color="C7CDBF"/>
              <w:bottom w:val="single" w:sz="4" w:color="C7CDBF"/>
              <w:right w:val="single" w:sz="4" w:color="C7CDBF"/>
            </w:tcBorders>
          </w:tcPr>
          <w:p>
            <w:r/>
            <w:r>
              <w:rPr>
                <w:rFonts w:ascii="Consolas" w:hAnsi="Consolas"/>
                <w:b w:val="0"/>
                <w:color w:val="171A16"/>
                <w:sz w:val="19"/>
              </w:rPr>
              <w:t>admin@shopnow.com</w:t>
            </w:r>
          </w:p>
        </w:tc>
        <w:tc>
          <w:tcPr>
            <w:tcW w:type="dxa" w:w="1872"/>
            <w:tcBorders>
              <w:top w:val="single" w:sz="4" w:color="C7CDBF"/>
              <w:left w:val="single" w:sz="4" w:color="C7CDBF"/>
              <w:bottom w:val="single" w:sz="4" w:color="C7CDBF"/>
              <w:right w:val="single" w:sz="4" w:color="C7CDBF"/>
            </w:tcBorders>
          </w:tcPr>
          <w:p>
            <w:r/>
            <w:r>
              <w:rPr>
                <w:rFonts w:ascii="Consolas" w:hAnsi="Consolas"/>
                <w:b w:val="0"/>
                <w:color w:val="171A16"/>
                <w:sz w:val="19"/>
              </w:rPr>
              <w:t>demo1234</w:t>
            </w:r>
          </w:p>
        </w:tc>
      </w:tr>
      <w:tr>
        <w:tc>
          <w:tcPr>
            <w:tcW w:type="dxa" w:w="2304"/>
            <w:tcBorders>
              <w:top w:val="single" w:sz="4" w:color="C7CDBF"/>
              <w:left w:val="single" w:sz="4" w:color="C7CDBF"/>
              <w:bottom w:val="single" w:sz="4" w:color="C7CDBF"/>
              <w:right w:val="single" w:sz="4" w:color="C7CDBF"/>
            </w:tcBorders>
          </w:tcPr>
          <w:p>
            <w:r/>
            <w:r>
              <w:rPr>
                <w:color w:val="171A16"/>
                <w:sz w:val="21"/>
              </w:rPr>
              <w:t>ShopNow Agent</w:t>
            </w:r>
          </w:p>
        </w:tc>
        <w:tc>
          <w:tcPr>
            <w:tcW w:type="dxa" w:w="4032"/>
            <w:tcBorders>
              <w:top w:val="single" w:sz="4" w:color="C7CDBF"/>
              <w:left w:val="single" w:sz="4" w:color="C7CDBF"/>
              <w:bottom w:val="single" w:sz="4" w:color="C7CDBF"/>
              <w:right w:val="single" w:sz="4" w:color="C7CDBF"/>
            </w:tcBorders>
          </w:tcPr>
          <w:p>
            <w:r/>
            <w:r>
              <w:rPr>
                <w:rFonts w:ascii="Consolas" w:hAnsi="Consolas"/>
                <w:b w:val="0"/>
                <w:color w:val="171A16"/>
                <w:sz w:val="19"/>
              </w:rPr>
              <w:t>agent@shopnow.com</w:t>
            </w:r>
          </w:p>
        </w:tc>
        <w:tc>
          <w:tcPr>
            <w:tcW w:type="dxa" w:w="1872"/>
            <w:tcBorders>
              <w:top w:val="single" w:sz="4" w:color="C7CDBF"/>
              <w:left w:val="single" w:sz="4" w:color="C7CDBF"/>
              <w:bottom w:val="single" w:sz="4" w:color="C7CDBF"/>
              <w:right w:val="single" w:sz="4" w:color="C7CDBF"/>
            </w:tcBorders>
          </w:tcPr>
          <w:p>
            <w:r/>
            <w:r>
              <w:rPr>
                <w:rFonts w:ascii="Consolas" w:hAnsi="Consolas"/>
                <w:b w:val="0"/>
                <w:color w:val="171A16"/>
                <w:sz w:val="19"/>
              </w:rPr>
              <w:t>demo1234</w:t>
            </w:r>
          </w:p>
        </w:tc>
      </w:tr>
      <w:tr>
        <w:tc>
          <w:tcPr>
            <w:tcW w:type="dxa" w:w="2304"/>
            <w:tcBorders>
              <w:top w:val="single" w:sz="4" w:color="C7CDBF"/>
              <w:left w:val="single" w:sz="4" w:color="C7CDBF"/>
              <w:bottom w:val="single" w:sz="4" w:color="C7CDBF"/>
              <w:right w:val="single" w:sz="4" w:color="C7CDBF"/>
            </w:tcBorders>
          </w:tcPr>
          <w:p>
            <w:r/>
            <w:r>
              <w:rPr>
                <w:color w:val="171A16"/>
                <w:sz w:val="21"/>
              </w:rPr>
              <w:t>CloudStack Admin</w:t>
            </w:r>
          </w:p>
        </w:tc>
        <w:tc>
          <w:tcPr>
            <w:tcW w:type="dxa" w:w="4032"/>
            <w:tcBorders>
              <w:top w:val="single" w:sz="4" w:color="C7CDBF"/>
              <w:left w:val="single" w:sz="4" w:color="C7CDBF"/>
              <w:bottom w:val="single" w:sz="4" w:color="C7CDBF"/>
              <w:right w:val="single" w:sz="4" w:color="C7CDBF"/>
            </w:tcBorders>
          </w:tcPr>
          <w:p>
            <w:r/>
            <w:r>
              <w:rPr>
                <w:rFonts w:ascii="Consolas" w:hAnsi="Consolas"/>
                <w:b w:val="0"/>
                <w:color w:val="171A16"/>
                <w:sz w:val="19"/>
              </w:rPr>
              <w:t>admin@cloudstack.com</w:t>
            </w:r>
          </w:p>
        </w:tc>
        <w:tc>
          <w:tcPr>
            <w:tcW w:type="dxa" w:w="1872"/>
            <w:tcBorders>
              <w:top w:val="single" w:sz="4" w:color="C7CDBF"/>
              <w:left w:val="single" w:sz="4" w:color="C7CDBF"/>
              <w:bottom w:val="single" w:sz="4" w:color="C7CDBF"/>
              <w:right w:val="single" w:sz="4" w:color="C7CDBF"/>
            </w:tcBorders>
          </w:tcPr>
          <w:p>
            <w:r/>
            <w:r>
              <w:rPr>
                <w:rFonts w:ascii="Consolas" w:hAnsi="Consolas"/>
                <w:b w:val="0"/>
                <w:color w:val="171A16"/>
                <w:sz w:val="19"/>
              </w:rPr>
              <w:t>demo1234</w:t>
            </w:r>
          </w:p>
        </w:tc>
      </w:tr>
      <w:tr>
        <w:tc>
          <w:tcPr>
            <w:tcW w:type="dxa" w:w="2304"/>
            <w:tcBorders>
              <w:top w:val="single" w:sz="4" w:color="C7CDBF"/>
              <w:left w:val="single" w:sz="4" w:color="C7CDBF"/>
              <w:bottom w:val="single" w:sz="4" w:color="C7CDBF"/>
              <w:right w:val="single" w:sz="4" w:color="C7CDBF"/>
            </w:tcBorders>
          </w:tcPr>
          <w:p>
            <w:r/>
            <w:r>
              <w:rPr>
                <w:color w:val="171A16"/>
                <w:sz w:val="21"/>
              </w:rPr>
              <w:t>CloudStack Agent</w:t>
            </w:r>
          </w:p>
        </w:tc>
        <w:tc>
          <w:tcPr>
            <w:tcW w:type="dxa" w:w="4032"/>
            <w:tcBorders>
              <w:top w:val="single" w:sz="4" w:color="C7CDBF"/>
              <w:left w:val="single" w:sz="4" w:color="C7CDBF"/>
              <w:bottom w:val="single" w:sz="4" w:color="C7CDBF"/>
              <w:right w:val="single" w:sz="4" w:color="C7CDBF"/>
            </w:tcBorders>
          </w:tcPr>
          <w:p>
            <w:r/>
            <w:r>
              <w:rPr>
                <w:rFonts w:ascii="Consolas" w:hAnsi="Consolas"/>
                <w:b w:val="0"/>
                <w:color w:val="171A16"/>
                <w:sz w:val="19"/>
              </w:rPr>
              <w:t>agent@cloudstack.com</w:t>
            </w:r>
          </w:p>
        </w:tc>
        <w:tc>
          <w:tcPr>
            <w:tcW w:type="dxa" w:w="1872"/>
            <w:tcBorders>
              <w:top w:val="single" w:sz="4" w:color="C7CDBF"/>
              <w:left w:val="single" w:sz="4" w:color="C7CDBF"/>
              <w:bottom w:val="single" w:sz="4" w:color="C7CDBF"/>
              <w:right w:val="single" w:sz="4" w:color="C7CDBF"/>
            </w:tcBorders>
          </w:tcPr>
          <w:p>
            <w:r/>
            <w:r>
              <w:rPr>
                <w:rFonts w:ascii="Consolas" w:hAnsi="Consolas"/>
                <w:b w:val="0"/>
                <w:color w:val="171A16"/>
                <w:sz w:val="19"/>
              </w:rPr>
              <w:t>demo1234</w:t>
            </w:r>
          </w:p>
        </w:tc>
      </w:tr>
      <w:tr>
        <w:tc>
          <w:tcPr>
            <w:tcW w:type="dxa" w:w="2304"/>
            <w:tcBorders>
              <w:top w:val="single" w:sz="4" w:color="C7CDBF"/>
              <w:left w:val="single" w:sz="4" w:color="C7CDBF"/>
              <w:bottom w:val="single" w:sz="4" w:color="C7CDBF"/>
              <w:right w:val="single" w:sz="4" w:color="C7CDBF"/>
            </w:tcBorders>
          </w:tcPr>
          <w:p>
            <w:r/>
            <w:r>
              <w:rPr>
                <w:color w:val="171A16"/>
                <w:sz w:val="21"/>
              </w:rPr>
              <w:t>MedCare Admin</w:t>
            </w:r>
          </w:p>
        </w:tc>
        <w:tc>
          <w:tcPr>
            <w:tcW w:type="dxa" w:w="4032"/>
            <w:tcBorders>
              <w:top w:val="single" w:sz="4" w:color="C7CDBF"/>
              <w:left w:val="single" w:sz="4" w:color="C7CDBF"/>
              <w:bottom w:val="single" w:sz="4" w:color="C7CDBF"/>
              <w:right w:val="single" w:sz="4" w:color="C7CDBF"/>
            </w:tcBorders>
          </w:tcPr>
          <w:p>
            <w:r/>
            <w:r>
              <w:rPr>
                <w:rFonts w:ascii="Consolas" w:hAnsi="Consolas"/>
                <w:b w:val="0"/>
                <w:color w:val="171A16"/>
                <w:sz w:val="19"/>
              </w:rPr>
              <w:t>admin@medcare.com</w:t>
            </w:r>
          </w:p>
        </w:tc>
        <w:tc>
          <w:tcPr>
            <w:tcW w:type="dxa" w:w="1872"/>
            <w:tcBorders>
              <w:top w:val="single" w:sz="4" w:color="C7CDBF"/>
              <w:left w:val="single" w:sz="4" w:color="C7CDBF"/>
              <w:bottom w:val="single" w:sz="4" w:color="C7CDBF"/>
              <w:right w:val="single" w:sz="4" w:color="C7CDBF"/>
            </w:tcBorders>
          </w:tcPr>
          <w:p>
            <w:r/>
            <w:r>
              <w:rPr>
                <w:rFonts w:ascii="Consolas" w:hAnsi="Consolas"/>
                <w:b w:val="0"/>
                <w:color w:val="171A16"/>
                <w:sz w:val="19"/>
              </w:rPr>
              <w:t>demo1234</w:t>
            </w:r>
          </w:p>
        </w:tc>
      </w:tr>
      <w:tr>
        <w:tc>
          <w:tcPr>
            <w:tcW w:type="dxa" w:w="2304"/>
            <w:tcBorders>
              <w:top w:val="single" w:sz="4" w:color="C7CDBF"/>
              <w:left w:val="single" w:sz="4" w:color="C7CDBF"/>
              <w:bottom w:val="single" w:sz="4" w:color="C7CDBF"/>
              <w:right w:val="single" w:sz="4" w:color="C7CDBF"/>
            </w:tcBorders>
          </w:tcPr>
          <w:p>
            <w:r/>
            <w:r>
              <w:rPr>
                <w:color w:val="171A16"/>
                <w:sz w:val="21"/>
              </w:rPr>
              <w:t>Super Admin</w:t>
            </w:r>
          </w:p>
        </w:tc>
        <w:tc>
          <w:tcPr>
            <w:tcW w:type="dxa" w:w="4032"/>
            <w:tcBorders>
              <w:top w:val="single" w:sz="4" w:color="C7CDBF"/>
              <w:left w:val="single" w:sz="4" w:color="C7CDBF"/>
              <w:bottom w:val="single" w:sz="4" w:color="C7CDBF"/>
              <w:right w:val="single" w:sz="4" w:color="C7CDBF"/>
            </w:tcBorders>
          </w:tcPr>
          <w:p>
            <w:r/>
            <w:r>
              <w:rPr>
                <w:rFonts w:ascii="Consolas" w:hAnsi="Consolas"/>
                <w:b w:val="0"/>
                <w:color w:val="171A16"/>
                <w:sz w:val="19"/>
              </w:rPr>
              <w:t>superadmin@nexussupport.com</w:t>
            </w:r>
          </w:p>
        </w:tc>
        <w:tc>
          <w:tcPr>
            <w:tcW w:type="dxa" w:w="1872"/>
            <w:tcBorders>
              <w:top w:val="single" w:sz="4" w:color="C7CDBF"/>
              <w:left w:val="single" w:sz="4" w:color="C7CDBF"/>
              <w:bottom w:val="single" w:sz="4" w:color="C7CDBF"/>
              <w:right w:val="single" w:sz="4" w:color="C7CDBF"/>
            </w:tcBorders>
          </w:tcPr>
          <w:p>
            <w:r/>
            <w:r>
              <w:rPr>
                <w:rFonts w:ascii="Consolas" w:hAnsi="Consolas"/>
                <w:b w:val="0"/>
                <w:color w:val="171A16"/>
                <w:sz w:val="19"/>
              </w:rPr>
              <w:t>admin1234</w:t>
            </w:r>
          </w:p>
        </w:tc>
      </w:tr>
    </w:tbl>
    <w:p>
      <w:pPr>
        <w:spacing w:after="80"/>
      </w:pPr>
    </w:p>
    <w:p>
      <w:pPr>
        <w:pStyle w:val="Heading1"/>
        <w:spacing w:before="360" w:after="160"/>
      </w:pPr>
      <w:r>
        <w:rPr>
          <w:b/>
          <w:color w:val="171A16"/>
          <w:sz w:val="40"/>
        </w:rPr>
        <w:t>8. Repository Layout</w:t>
      </w:r>
    </w:p>
    <w:p>
      <w:pPr>
        <w:spacing w:after="80"/>
      </w:pPr>
      <w:r>
        <w:rPr>
          <w:rFonts w:ascii="Consolas" w:hAnsi="Consolas"/>
          <w:b w:val="0"/>
          <w:color w:val="171A16"/>
          <w:sz w:val="19"/>
        </w:rPr>
        <w:t>nexussupport/</w:t>
        <w:br/>
        <w:t>├── backend/</w:t>
        <w:br/>
        <w:t>│   ├── server.js        # Express API routes</w:t>
        <w:br/>
        <w:t>│   ├── db.js             # DynamoDB data-access layer</w:t>
        <w:br/>
        <w:t>│   ├── seed.js            # Seeds demo data into DynamoDB</w:t>
        <w:br/>
        <w:t>│   └── Dockerfile</w:t>
        <w:br/>
        <w:t>├── frontend/</w:t>
        <w:br/>
        <w:t>│   ├── src/</w:t>
        <w:br/>
        <w:t>│   └── vite.config.js</w:t>
        <w:br/>
        <w:t>├── infra/</w:t>
        <w:br/>
        <w:t>│   └── cloudformation.yml # Full AWS stack</w:t>
        <w:br/>
        <w:t>└── docs/</w:t>
        <w:br/>
        <w:t xml:space="preserve">    ├── PROJECT_DOCUMENT.md / .docx</w:t>
        <w:br/>
        <w:t xml:space="preserve">    ├── architecture.png</w:t>
        <w:br/>
        <w:t xml:space="preserve">    └── NexusSupport_Presentation.pptx</w:t>
      </w:r>
    </w:p>
    <w:p>
      <w:pPr>
        <w:spacing w:before="480"/>
      </w:pPr>
      <w:r>
        <w:rPr>
          <w:color w:val="5B645F"/>
          <w:sz w:val="18"/>
        </w:rPr>
        <w:t>NexusSupport — Project Document  ·  Companion files: docs/architecture.png, docs/NexusSupport_Presentation.pptx</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1A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