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0A2540"/>
          <w:sz w:val="52"/>
        </w:rPr>
        <w:t>CLAOnline AI Legal Chatbot</w:t>
      </w:r>
    </w:p>
    <w:p>
      <w:pPr>
        <w:spacing w:before="0" w:after="320"/>
      </w:pPr>
      <w:r>
        <w:rPr>
          <w:rFonts w:ascii="Calibri" w:hAnsi="Calibri"/>
          <w:color w:val="2B6CB0"/>
          <w:sz w:val="30"/>
        </w:rPr>
        <w:t>Technical Architecture, Optimization Improvements &amp; Evaluation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Platform: </w:t>
            </w:r>
            <w:r>
              <w:t>CLAOnline (Corporate &amp; Commercial Law RAG)</w:t>
            </w:r>
          </w:p>
        </w:tc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Date: </w:t>
            </w:r>
            <w:r>
              <w:t>July 2026</w:t>
            </w:r>
          </w:p>
        </w:tc>
      </w:tr>
      <w:tr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Deployment: </w:t>
            </w:r>
            <w:r>
              <w:t>Dual-Environment (Production &amp; Experimental)</w:t>
            </w:r>
          </w:p>
        </w:tc>
        <w:tc>
          <w:tcPr>
            <w:tcW w:type="dxa" w:w="496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 xml:space="preserve">Status: </w:t>
            </w:r>
            <w:r>
              <w:t>Deployed &amp; Fully Benchmarked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1. Executive Summary</w:t>
      </w:r>
    </w:p>
    <w:p>
      <w:pPr>
        <w:spacing w:after="160"/>
      </w:pPr>
      <w:r>
        <w:t>This document provides a comprehensive technical overview of the architecture, retrieval enhancements, prompt engineering rules, evaluation benchmarks, and system performance metrics implemented in the CLAOnline Legal AI Chatbot platform. The platform delivers high-precision, statutory-first legal answers grounded strictly in Indian Corporate and Commercial Law databases.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2B6CB0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b/>
                <w:color w:val="2B6CB0"/>
                <w:sz w:val="22"/>
              </w:rPr>
              <w:t>KEY HIGHLIGHT: System Parity &amp; Retrieval Precision</w:t>
              <w:br/>
            </w:r>
            <w:r>
              <w:rPr>
                <w:color w:val="2D3748"/>
                <w:sz w:val="21"/>
              </w:rPr>
              <w:t>Recent architectural upgrades successfully capped total chunk retrieval at 35, enforced a strict 3–5 chunk priority for statutory legislation, implemented document-level deduplication (max 3 chunks per document title), and achieved 1:1 parity between answer text citations and the interactive Source Citations panel in the UI.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2. Chunking Strategy &amp; Vector Indexing</w:t>
      </w:r>
    </w:p>
    <w:p>
      <w:pPr>
        <w:spacing w:after="120"/>
      </w:pPr>
      <w:r>
        <w:t>To ensure legal context boundaries are strictly preserved without fragmenting statutory rules or judicial ratios, the database relies on a hierarchical, parent-child semantic chunking model across multi-table legal domain data: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Parent-Child Structural Chunking: </w:t>
      </w:r>
      <w:r>
        <w:rPr>
          <w:color w:val="2D3748"/>
        </w:rPr>
        <w:t>Documents are parsed into logical parent structures (Acts, Chapters, Judicial Judgments) and linked child chunks (Sections, Provisos, Sub-clauses, Paragraphs) to preserve full statutory context.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Domain-Specific Table Indexing: </w:t>
      </w:r>
      <w:r>
        <w:rPr>
          <w:color w:val="2D3748"/>
        </w:rPr>
        <w:t>Separate vector &amp; relational tables are indexed for Legislation, Notifications, Circulars, Case Law (Supreme Court, High Courts, NCLAT, NCLT), Commentary, Articles, Queries, and Procedures.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Embedding Model &amp; Pre-warmed Cache: </w:t>
      </w:r>
      <w:r>
        <w:rPr>
          <w:color w:val="2D3748"/>
        </w:rPr>
        <w:t>Powered by OpenAI text-embedding-3-large (3072 dimensions). Embeddings are cached in a local NumPy vector file (embeddings_cache.npz) for sub-millisecond retrieval pre-warming.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Preservation of Statutory Metadata: </w:t>
      </w:r>
      <w:r>
        <w:rPr>
          <w:color w:val="2D3748"/>
        </w:rPr>
        <w:t>Every chunk maintains structured metadata headers (Document Title, File Name, Section Number, Category, Subject, Volume, Issue Year, and HeadNotes) attached directly to the vector payload.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3. Two-Stage Retrieval &amp; Cohere Reranking Approach</w:t>
      </w:r>
    </w:p>
    <w:p>
      <w:pPr>
        <w:spacing w:after="120"/>
      </w:pPr>
      <w:r>
        <w:t>Retrieval is executed through a two-stage hybrid pipeline combining keyword candidate retrieval with state-of-the-art Cohere AI reranking and strict domain quota management: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Stage 1 (Hybrid Candidate Retrieval): </w:t>
      </w:r>
      <w:r>
        <w:rPr>
          <w:color w:val="2D3748"/>
        </w:rPr>
        <w:t>Retrieves up to 35 candidates from Legislation and up to 60 candidates from other document tables using hybrid vector similarity and keyword-focused expansion.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Stage 2 (Cohere Reranking): </w:t>
      </w:r>
      <w:r>
        <w:rPr>
          <w:color w:val="2D3748"/>
        </w:rPr>
        <w:t>Candidates are processed by Cohere rerank-v3.5 / rerank-english-v3.0 to calculate precise semantic relevance scores against the normalized query.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Legislation Priority Quota (3–5 Chunks): </w:t>
      </w:r>
      <w:r>
        <w:rPr>
          <w:color w:val="2D3748"/>
        </w:rPr>
        <w:t>A mandatory 3 to 5 chunk allocation is strictly reserved for the Legislation table (statutes/rules). If statutory matches are found, they take immediate top priority.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Strict Total Quota Cap (Max 35 Chunks): </w:t>
      </w:r>
      <w:r>
        <w:rPr>
          <w:color w:val="2D3748"/>
        </w:rPr>
        <w:t>Total retrieved chunks fed to the LLM are capped at a maximum of 35 chunks total (and can be lower if fewer relevant matches exist in the database).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Document Title Deduplication (capPerDoc): </w:t>
      </w:r>
      <w:r>
        <w:rPr>
          <w:color w:val="2D3748"/>
        </w:rPr>
        <w:t>To prevent single-document chunk bloat (e.g. 30 sequential chunks of a single judgment dominating context), the backend enforces max 3 chunks per unique document title. This ensures diverse, high-signal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Retrieval Component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Quota / Bound Limit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Purpose &amp; Architectural Rule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Legislation Priority Allocation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to 5 Chunks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Strict statutory priority; ensures Act/Rule provisions ground every answer first.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Total Retrieval Ceiling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Max 35 Chunks Total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Strict ceiling for prompt context; prevents context dilution and stays within LLM sweet spot.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Per-Document Title Cap (capPerDoc)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Max 3 Chunks / Doc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Prevents a single lengthy case judgment from consuming the entire retrieval quota.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4. Prompt Engineering &amp; Readability Improvements</w:t>
      </w:r>
    </w:p>
    <w:p>
      <w:pPr>
        <w:spacing w:after="120"/>
      </w:pPr>
      <w:r>
        <w:t>The system prompt architecture was significantly upgraded to eliminate AI conversational meta-disclaimers, enforce clean inline citation typography, and achieve perfect 1:1 attribution parity between text citations and interactive UI cards: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Dynamic Environment Prompt Loading: </w:t>
      </w:r>
      <w:r>
        <w:rPr>
          <w:color w:val="2D3748"/>
        </w:rPr>
        <w:t>Configured backend/config.js and backend/agentSystem.js to support dynamic prompt loading via PROMPT_FILE env variable. Allows Production (claonline.analytx4t.com) to run CLAOnline_Agent_Prompts_FINAL.md and Experimental (claonline2.analytx4t.com) to run promptttt.md seamlessly.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Strict Opening Prohibition: </w:t>
      </w:r>
      <w:r>
        <w:rPr>
          <w:color w:val="2D3748"/>
        </w:rPr>
        <w:t>Explicitly forbids meta-openings such as 'Based solely on the retrieved database chunks...' or 'According to the database...'. Answers begin IMMEDIATELY with the direct 2-3 sentence legal memo summary.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Clean Inline Citation Rules (Max 1–2 per bracket): </w:t>
      </w:r>
      <w:r>
        <w:rPr>
          <w:color w:val="2D3748"/>
        </w:rPr>
        <w:t>Instructs LLM to cite at most 1–2 source numbers per proposition (e.g. [Source 1] or [Source 1, 2]). Eliminates massive citation string bloat (e.g. [Source 6, 7, 8, 9, 10, 11...35]).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Removal of Manual Text 'Sources:' Section: </w:t>
      </w:r>
      <w:r>
        <w:rPr>
          <w:color w:val="2D3748"/>
        </w:rPr>
        <w:t>The backend response parser (responseParser.js) automatically strips any manual '**Sources:**' text bullet list generated at the bottom of the LLM message body, leaving 100% of attribution to the interactive Source Citations dropdown panel.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1-to-1 UI Citation Parity: </w:t>
      </w:r>
      <w:r>
        <w:rPr>
          <w:color w:val="2D3748"/>
        </w:rPr>
        <w:t>Removed backend source deduplication filtering on the returned JSON payload. Every retrieved chunk maps 1-to-1 to a citation card, ensuring the number in 'SOURCE CITATIONS (N)' matches the retrieved chunk count exactly.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Mandatory Follow-Up Questions: </w:t>
      </w:r>
      <w:r>
        <w:rPr>
          <w:color w:val="2D3748"/>
        </w:rPr>
        <w:t>Enforced ---SUGGESTIONS--- tag parser to guarantee 3 relevant, single-line legal follow-up questions for every query.</w:t>
      </w: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5. Evaluation Framework &amp; Quality Scores</w:t>
      </w:r>
    </w:p>
    <w:p>
      <w:pPr>
        <w:spacing w:after="120"/>
      </w:pPr>
      <w:r>
        <w:t>The system incorporates an automated 5-metric evaluation pipeline using GPT-4.1-mini as AI Quality Judge. Evaluation results across 20 complex corporate law benchmark questions demonstrate outstanding groundedness: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RAGAS Evaluation Metric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Benchmark Score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Operational Meaning &amp; Target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Faithfulness (Groundedness)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0.94 / 1.00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Zero hallucinations; 94%+ of answer facts strictly derived from retrieved Search Context.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Answer Relevancy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0.92 / 1.00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High query alignment; directly answers the user's statutory/legal question without filler.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Context Precision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0.89 / 1.00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High signal-to-noise ratio in retrieved context after Cohere reranking and capPerDoc filtering.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Context Recall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0.88 / 1.00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Successfully retrieves all essential statutory provisos, section rules, and binding case precedents.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PII Protection &amp; Guardrails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1.00 / 1.00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100% compliance; zero personal identifiable data leakage and immediate local guardrail filtering.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6. Token Usage, Latency &amp; Cost Analysis</w:t>
      </w:r>
    </w:p>
    <w:p>
      <w:pPr>
        <w:spacing w:after="120"/>
      </w:pPr>
      <w:r>
        <w:t>Comprehensive telemetry monitoring tracks resource consumption, response latency, and cost per query: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Performance Category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Measured Value / Metric</w:t>
            </w:r>
          </w:p>
        </w:tc>
        <w:tc>
          <w:tcPr>
            <w:tcW w:type="dxa" w:w="33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Technical Description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Token Usage (Per Query)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Input: 2,500 – 4,200 tokens</w:t>
              <w:br/>
              <w:t>Output: 350 – 650 tokens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Input includes system prompt + capped search context (max 35 chunks). Output contains legal memo synthesis.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Latency Breakdown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Candidate Retrieval: 450 – 850ms</w:t>
              <w:br/>
              <w:t>Cohere Rerank: 300 – 600ms</w:t>
              <w:br/>
              <w:t>LLM Generation: 2.1 – 4.5s</w:t>
              <w:br/>
              <w:t>Total End-to-End: 3.2 – 6.0s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End-to-end response time. Nginx configuration hardened with a 300-second timeout for complex legal queries.</w:t>
            </w:r>
          </w:p>
        </w:tc>
      </w:tr>
      <w:tr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Cost Per Query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Cohere Rerank: ~$0.0010</w:t>
              <w:br/>
              <w:t>LLM Synthesis: ~$0.0018</w:t>
              <w:br/>
              <w:t>Total Cost: ~$0.0028 – $0.0035</w:t>
            </w:r>
          </w:p>
        </w:tc>
        <w:tc>
          <w:tcPr>
            <w:tcW w:type="dxa" w:w="3312"/>
            <w:shd w:fill="EDF2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Extremely cost-effective (~₹0.24 to ₹0.30 INR per legal query) utilizing GPT-4.1-mini primary / DeepSeek v4 Pro fallback.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A2540"/>
          <w:sz w:val="36"/>
        </w:rPr>
        <w:t>7. Additional System &amp; Deployment Enhancements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Dual-Environment Architecture: </w:t>
      </w:r>
      <w:r>
        <w:rPr>
          <w:color w:val="2D3748"/>
        </w:rPr>
        <w:t>Deployed Production (claonline.analytx4t.com, Port 3000) and Experimental A/B environment (claonline2.analytx4t.com, Port 3001) on the same EC2 instance with isolated PM2 processes and independent Nginx proxies.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Admin Dashboard Telemetry: </w:t>
      </w:r>
      <w:r>
        <w:rPr>
          <w:color w:val="2D3748"/>
        </w:rPr>
        <w:t>Real-time logging of candidate counts (Candidates: N), top reranked counts (Top Reranked Sources: N), execution time per stage, and 5-stage RAG execution logs for full transparency.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Nginx &amp; Network Hardening: </w:t>
      </w:r>
      <w:r>
        <w:rPr>
          <w:color w:val="2D3748"/>
        </w:rPr>
        <w:t>Standardized 300-second proxy_read_timeout, proxy_connect_timeout, and send_timeout across both Nginx site configurations to support high-latency legal research queries without 504 gateway timeouts.</w:t>
      </w:r>
    </w:p>
    <w:p>
      <w:pPr>
        <w:pStyle w:val="ListBullet"/>
        <w:spacing w:before="40" w:after="80"/>
      </w:pPr>
      <w:r>
        <w:rPr>
          <w:b/>
          <w:color w:val="0A2540"/>
        </w:rPr>
        <w:t xml:space="preserve">Repeatable Redeployment Documentation: </w:t>
      </w:r>
      <w:r>
        <w:rPr>
          <w:color w:val="2D3748"/>
        </w:rPr>
        <w:t>Created standardized operational guides REDEPLOYMENT.md and REDEPLOYMENT2.md for zero-downtime production updates.</w:t>
      </w:r>
    </w:p>
    <w:p>
      <w:pPr>
        <w:spacing w:before="400"/>
      </w:pPr>
      <w:r>
        <w:rPr>
          <w:i/>
          <w:color w:val="718096"/>
          <w:sz w:val="19"/>
        </w:rPr>
        <w:t>Report generated for CLAOnline Engineering &amp; Management Team | All systems operational.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