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A2540"/>
          <w:sz w:val="52"/>
        </w:rPr>
        <w:t>CLA System Evaluation Test Report</w:t>
      </w:r>
    </w:p>
    <w:p>
      <w:pPr>
        <w:spacing w:before="0" w:after="280"/>
      </w:pPr>
      <w:r>
        <w:rPr>
          <w:rFonts w:ascii="Calibri" w:hAnsi="Calibri"/>
          <w:color w:val="2B6CB0"/>
          <w:sz w:val="30"/>
        </w:rPr>
        <w:t>Live Benchmark Audit Across 5 Random Client Evaluation Test Cases</w:t>
      </w:r>
    </w:p>
    <w:tbl>
      <w:tblPr>
        <w:tblW w:type="auto" w:w="0"/>
        <w:jc w:val="center"/>
        <w:tblLook w:firstColumn="1" w:firstRow="1" w:lastColumn="0" w:lastRow="0" w:noHBand="0" w:noVBand="1" w:val="04A0"/>
      </w:tblPr>
      <w:tblGrid>
        <w:gridCol w:w="4968"/>
        <w:gridCol w:w="4968"/>
      </w:tblGrid>
      <w:tr>
        <w:tc>
          <w:tcPr>
            <w:tcW w:type="dxa" w:w="4968"/>
            <w:shd w:fill="F7FAFC"/>
            <w:tcMar>
              <w:top w:w="80" w:type="dxa"/>
              <w:bottom w:w="80" w:type="dxa"/>
              <w:left w:w="120" w:type="dxa"/>
              <w:right w:w="120" w:type="dxa"/>
            </w:tcMar>
          </w:tcPr>
          <w:p>
            <w:r>
              <w:rPr>
                <w:b/>
              </w:rPr>
              <w:t xml:space="preserve">Source File: </w:t>
            </w:r>
            <w:r>
              <w:t>Evaluation_Test_Cases.xlsx</w:t>
            </w:r>
          </w:p>
        </w:tc>
        <w:tc>
          <w:tcPr>
            <w:tcW w:type="dxa" w:w="4968"/>
            <w:shd w:fill="F7FAFC"/>
            <w:tcMar>
              <w:top w:w="80" w:type="dxa"/>
              <w:bottom w:w="80" w:type="dxa"/>
              <w:left w:w="120" w:type="dxa"/>
              <w:right w:w="120" w:type="dxa"/>
            </w:tcMar>
          </w:tcPr>
          <w:p>
            <w:r>
              <w:rPr>
                <w:b/>
              </w:rPr>
              <w:t xml:space="preserve">Test Date: </w:t>
            </w:r>
            <w:r>
              <w:t>July 31, 2026</w:t>
            </w:r>
          </w:p>
        </w:tc>
      </w:tr>
      <w:tr>
        <w:tc>
          <w:tcPr>
            <w:tcW w:type="dxa" w:w="4968"/>
            <w:shd w:fill="F7FAFC"/>
            <w:tcMar>
              <w:top w:w="80" w:type="dxa"/>
              <w:bottom w:w="80" w:type="dxa"/>
              <w:left w:w="120" w:type="dxa"/>
              <w:right w:w="120" w:type="dxa"/>
            </w:tcMar>
          </w:tcPr>
          <w:p>
            <w:r>
              <w:rPr>
                <w:b/>
              </w:rPr>
              <w:t xml:space="preserve">Sample Size: </w:t>
            </w:r>
            <w:r>
              <w:t>5 Random Test Questions</w:t>
            </w:r>
          </w:p>
        </w:tc>
        <w:tc>
          <w:tcPr>
            <w:tcW w:type="dxa" w:w="4968"/>
            <w:shd w:fill="F7FAFC"/>
            <w:tcMar>
              <w:top w:w="80" w:type="dxa"/>
              <w:bottom w:w="80" w:type="dxa"/>
              <w:left w:w="120" w:type="dxa"/>
              <w:right w:w="120" w:type="dxa"/>
            </w:tcMar>
          </w:tcPr>
          <w:p>
            <w:r>
              <w:rPr>
                <w:b/>
              </w:rPr>
              <w:t xml:space="preserve">Overall Result: </w:t>
            </w:r>
            <w:r>
              <w:rPr>
                <w:b/>
                <w:color w:val="28A745"/>
              </w:rPr>
              <w:t>100% PASSED (All Criteria Met)</w:t>
            </w:r>
          </w:p>
        </w:tc>
      </w:tr>
    </w:tbl>
    <w:p>
      <w:pPr>
        <w:spacing w:after="240"/>
      </w:pPr>
    </w:p>
    <w:p>
      <w:pPr>
        <w:keepNext/>
        <w:spacing w:before="360" w:after="120"/>
      </w:pPr>
      <w:r>
        <w:rPr>
          <w:rFonts w:ascii="Calibri" w:hAnsi="Calibri"/>
          <w:b/>
          <w:color w:val="0A2540"/>
          <w:sz w:val="36"/>
        </w:rPr>
        <w:t>1. Executive Summary &amp; Observations</w:t>
      </w:r>
    </w:p>
    <w:p>
      <w:pPr>
        <w:spacing w:after="160"/>
      </w:pPr>
      <w:r>
        <w:t>To validate the recent RAG performance optimizations, chunking limits, prompt readability rules, and 1:1 citation parity, we randomly selected 5 test questions from the client evaluation suite (Evaluation_Test_Cases.xlsx) and executed them through the live CLA AI pipeline. Every single response was audited against six core architectural benchmarks.</w:t>
      </w:r>
    </w:p>
    <w:tbl>
      <w:tblPr>
        <w:tblW w:type="auto" w:w="0"/>
        <w:jc w:val="center"/>
        <w:tblLayout w:type="fixed"/>
        <w:tblLook w:firstColumn="1" w:firstRow="1" w:lastColumn="0" w:lastRow="0" w:noHBand="0" w:noVBand="1" w:val="04A0"/>
      </w:tblPr>
      <w:tblGrid>
        <w:gridCol w:w="9936"/>
      </w:tblGrid>
      <w:tr>
        <w:tc>
          <w:tcPr>
            <w:tcW w:type="dxa" w:w="9792"/>
            <w:shd w:fill="F7FAFC"/>
            <w:tcMar>
              <w:top w:w="140" w:type="dxa"/>
              <w:bottom w:w="140" w:type="dxa"/>
              <w:left w:w="200" w:type="dxa"/>
              <w:right w:w="200" w:type="dxa"/>
            </w:tcMar>
            <w:tcBorders>
              <w:top w:val="none" w:sz="0" w:space="0" w:color="auto"/>
              <w:left w:val="single" w:sz="24" w:space="0" w:color="2B6CB0"/>
              <w:bottom w:val="none" w:sz="0" w:space="0" w:color="auto"/>
              <w:right w:val="none" w:sz="0" w:space="0" w:color="auto"/>
            </w:tcBorders>
          </w:tcPr>
          <w:p>
            <w:pPr>
              <w:spacing w:before="0" w:after="80"/>
            </w:pPr>
            <w:r>
              <w:rPr>
                <w:b/>
                <w:color w:val="2B6CB0"/>
                <w:sz w:val="22"/>
              </w:rPr>
              <w:t>OBSERVATION &amp; VERIFICATION CONFIRMATION: Verification Confirmation — ALL SYSTEMS WORKING AS EXPECTED</w:t>
              <w:br/>
            </w:r>
            <w:r>
              <w:rPr>
                <w:color w:val="2D3748"/>
                <w:sz w:val="21"/>
              </w:rPr>
              <w:t>1. Strict Chunk Limit Enforced: Every test query retrieved between 8 and 23 chunks, staying well below the maximum limit of 35 chunks.</w:t>
              <w:br/>
              <w:t>2. Statutory Legislation Priority: Every query prioritized 5 chunks from the Legislation table first before drawing from other document tables.</w:t>
              <w:br/>
              <w:t>3. Document Title Deduplication (capPerDoc): No single document/case dominated context; max 3 chunks were allowed per document title.</w:t>
              <w:br/>
              <w:t>4. Clean Inline Citations: Zero bloated citation bracket strings (e.g. [Source 6, 7... 35]); inline citations were concise (max 1–2 per bracket).</w:t>
              <w:br/>
              <w:t>5. Elimination of Meta Openings: Zero conversational disclaimers ('Based solely on...'); answers start directly with the legal memo response.</w:t>
              <w:br/>
              <w:t>6. 1:1 Citation UI Parity: Redundant manual text 'Sources:' lists were stripped from text, delegating 100% of source presentation to the interactive UI panel.</w:t>
            </w:r>
          </w:p>
        </w:tc>
      </w:tr>
    </w:tbl>
    <w:p>
      <w:pPr>
        <w:spacing w:after="120"/>
      </w:pP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0A2540"/>
            <w:tcMar>
              <w:top w:w="100" w:type="dxa"/>
              <w:bottom w:w="100" w:type="dxa"/>
              <w:left w:w="100" w:type="dxa"/>
              <w:right w:w="100" w:type="dxa"/>
            </w:tcMar>
          </w:tcPr>
          <w:p>
            <w:r>
              <w:rPr>
                <w:b/>
                <w:color w:val="FFFFFF"/>
              </w:rPr>
              <w:t>Test ID</w:t>
            </w:r>
          </w:p>
        </w:tc>
        <w:tc>
          <w:tcPr>
            <w:tcW w:type="dxa" w:w="1656"/>
            <w:shd w:fill="0A2540"/>
            <w:tcMar>
              <w:top w:w="100" w:type="dxa"/>
              <w:bottom w:w="100" w:type="dxa"/>
              <w:left w:w="100" w:type="dxa"/>
              <w:right w:w="100" w:type="dxa"/>
            </w:tcMar>
          </w:tcPr>
          <w:p>
            <w:r>
              <w:rPr>
                <w:b/>
                <w:color w:val="FFFFFF"/>
              </w:rPr>
              <w:t>Retrieved Chunks</w:t>
            </w:r>
          </w:p>
        </w:tc>
        <w:tc>
          <w:tcPr>
            <w:tcW w:type="dxa" w:w="1656"/>
            <w:shd w:fill="0A2540"/>
            <w:tcMar>
              <w:top w:w="100" w:type="dxa"/>
              <w:bottom w:w="100" w:type="dxa"/>
              <w:left w:w="100" w:type="dxa"/>
              <w:right w:w="100" w:type="dxa"/>
            </w:tcMar>
          </w:tcPr>
          <w:p>
            <w:r>
              <w:rPr>
                <w:b/>
                <w:color w:val="FFFFFF"/>
              </w:rPr>
              <w:t>Legislation Chunks</w:t>
            </w:r>
          </w:p>
        </w:tc>
        <w:tc>
          <w:tcPr>
            <w:tcW w:type="dxa" w:w="1656"/>
            <w:shd w:fill="0A2540"/>
            <w:tcMar>
              <w:top w:w="100" w:type="dxa"/>
              <w:bottom w:w="100" w:type="dxa"/>
              <w:left w:w="100" w:type="dxa"/>
              <w:right w:w="100" w:type="dxa"/>
            </w:tcMar>
          </w:tcPr>
          <w:p>
            <w:r>
              <w:rPr>
                <w:b/>
                <w:color w:val="FFFFFF"/>
              </w:rPr>
              <w:t>Meta Opening?</w:t>
            </w:r>
          </w:p>
        </w:tc>
        <w:tc>
          <w:tcPr>
            <w:tcW w:type="dxa" w:w="1656"/>
            <w:shd w:fill="0A2540"/>
            <w:tcMar>
              <w:top w:w="100" w:type="dxa"/>
              <w:bottom w:w="100" w:type="dxa"/>
              <w:left w:w="100" w:type="dxa"/>
              <w:right w:w="100" w:type="dxa"/>
            </w:tcMar>
          </w:tcPr>
          <w:p>
            <w:r>
              <w:rPr>
                <w:b/>
                <w:color w:val="FFFFFF"/>
              </w:rPr>
              <w:t>Manual Sources List?</w:t>
            </w:r>
          </w:p>
        </w:tc>
        <w:tc>
          <w:tcPr>
            <w:tcW w:type="dxa" w:w="1656"/>
            <w:shd w:fill="0A2540"/>
            <w:tcMar>
              <w:top w:w="100" w:type="dxa"/>
              <w:bottom w:w="100" w:type="dxa"/>
              <w:left w:w="100" w:type="dxa"/>
              <w:right w:w="100" w:type="dxa"/>
            </w:tcMar>
          </w:tcPr>
          <w:p>
            <w:r>
              <w:rPr>
                <w:b/>
                <w:color w:val="FFFFFF"/>
              </w:rPr>
              <w:t>Audit Status</w:t>
            </w:r>
          </w:p>
        </w:tc>
      </w:tr>
      <w:tr>
        <w:tc>
          <w:tcPr>
            <w:tcW w:type="dxa" w:w="1656"/>
            <w:shd w:fill="EDF2F7"/>
            <w:tcMar>
              <w:top w:w="80" w:type="dxa"/>
              <w:bottom w:w="80" w:type="dxa"/>
              <w:left w:w="100" w:type="dxa"/>
              <w:right w:w="100" w:type="dxa"/>
            </w:tcMar>
          </w:tcPr>
          <w:p>
            <w:r>
              <w:rPr>
                <w:b/>
              </w:rPr>
              <w:t>CQ-01</w:t>
            </w:r>
          </w:p>
        </w:tc>
        <w:tc>
          <w:tcPr>
            <w:tcW w:type="dxa" w:w="1656"/>
            <w:shd w:fill="EDF2F7"/>
            <w:tcMar>
              <w:top w:w="80" w:type="dxa"/>
              <w:bottom w:w="80" w:type="dxa"/>
              <w:left w:w="100" w:type="dxa"/>
              <w:right w:w="100" w:type="dxa"/>
            </w:tcMar>
          </w:tcPr>
          <w:p>
            <w:r>
              <w:t>14 (Max 35)</w:t>
            </w:r>
          </w:p>
        </w:tc>
        <w:tc>
          <w:tcPr>
            <w:tcW w:type="dxa" w:w="1656"/>
            <w:shd w:fill="EDF2F7"/>
            <w:tcMar>
              <w:top w:w="80" w:type="dxa"/>
              <w:bottom w:w="80" w:type="dxa"/>
              <w:left w:w="100" w:type="dxa"/>
              <w:right w:w="100" w:type="dxa"/>
            </w:tcMar>
          </w:tcPr>
          <w:p>
            <w:r>
              <w:t>5 Chunks</w:t>
            </w:r>
          </w:p>
        </w:tc>
        <w:tc>
          <w:tcPr>
            <w:tcW w:type="dxa" w:w="1656"/>
            <w:shd w:fill="EDF2F7"/>
            <w:tcMar>
              <w:top w:w="80" w:type="dxa"/>
              <w:bottom w:w="80" w:type="dxa"/>
              <w:left w:w="100" w:type="dxa"/>
              <w:right w:w="100" w:type="dxa"/>
            </w:tcMar>
          </w:tcPr>
          <w:p>
            <w:r>
              <w:t>NONE (Pass)</w:t>
            </w:r>
          </w:p>
        </w:tc>
        <w:tc>
          <w:tcPr>
            <w:tcW w:type="dxa" w:w="1656"/>
            <w:shd w:fill="EDF2F7"/>
            <w:tcMar>
              <w:top w:w="80" w:type="dxa"/>
              <w:bottom w:w="80" w:type="dxa"/>
              <w:left w:w="100" w:type="dxa"/>
              <w:right w:w="100" w:type="dxa"/>
            </w:tcMar>
          </w:tcPr>
          <w:p>
            <w:r>
              <w:t>STRIPPED (Pass)</w:t>
            </w:r>
          </w:p>
        </w:tc>
        <w:tc>
          <w:tcPr>
            <w:tcW w:type="dxa" w:w="1656"/>
            <w:shd w:fill="EDF2F7"/>
            <w:tcMar>
              <w:top w:w="80" w:type="dxa"/>
              <w:bottom w:w="80" w:type="dxa"/>
              <w:left w:w="100" w:type="dxa"/>
              <w:right w:w="100" w:type="dxa"/>
            </w:tcMar>
          </w:tcPr>
          <w:p>
            <w:r>
              <w:rPr>
                <w:b/>
                <w:color w:val="28A745"/>
              </w:rPr>
              <w:t>PASSED ✓</w:t>
            </w:r>
          </w:p>
        </w:tc>
      </w:tr>
      <w:tr>
        <w:tc>
          <w:tcPr>
            <w:tcW w:type="dxa" w:w="1656"/>
            <w:shd w:fill="FFFFFF"/>
            <w:tcMar>
              <w:top w:w="80" w:type="dxa"/>
              <w:bottom w:w="80" w:type="dxa"/>
              <w:left w:w="100" w:type="dxa"/>
              <w:right w:w="100" w:type="dxa"/>
            </w:tcMar>
          </w:tcPr>
          <w:p>
            <w:r>
              <w:rPr>
                <w:b/>
              </w:rPr>
              <w:t>CQ-03</w:t>
            </w:r>
          </w:p>
        </w:tc>
        <w:tc>
          <w:tcPr>
            <w:tcW w:type="dxa" w:w="1656"/>
            <w:shd w:fill="FFFFFF"/>
            <w:tcMar>
              <w:top w:w="80" w:type="dxa"/>
              <w:bottom w:w="80" w:type="dxa"/>
              <w:left w:w="100" w:type="dxa"/>
              <w:right w:w="100" w:type="dxa"/>
            </w:tcMar>
          </w:tcPr>
          <w:p>
            <w:r>
              <w:t>8 (Max 35)</w:t>
            </w:r>
          </w:p>
        </w:tc>
        <w:tc>
          <w:tcPr>
            <w:tcW w:type="dxa" w:w="1656"/>
            <w:shd w:fill="FFFFFF"/>
            <w:tcMar>
              <w:top w:w="80" w:type="dxa"/>
              <w:bottom w:w="80" w:type="dxa"/>
              <w:left w:w="100" w:type="dxa"/>
              <w:right w:w="100" w:type="dxa"/>
            </w:tcMar>
          </w:tcPr>
          <w:p>
            <w:r>
              <w:t>5 Chunks</w:t>
            </w:r>
          </w:p>
        </w:tc>
        <w:tc>
          <w:tcPr>
            <w:tcW w:type="dxa" w:w="1656"/>
            <w:shd w:fill="FFFFFF"/>
            <w:tcMar>
              <w:top w:w="80" w:type="dxa"/>
              <w:bottom w:w="80" w:type="dxa"/>
              <w:left w:w="100" w:type="dxa"/>
              <w:right w:w="100" w:type="dxa"/>
            </w:tcMar>
          </w:tcPr>
          <w:p>
            <w:r>
              <w:t>NONE (Pass)</w:t>
            </w:r>
          </w:p>
        </w:tc>
        <w:tc>
          <w:tcPr>
            <w:tcW w:type="dxa" w:w="1656"/>
            <w:shd w:fill="FFFFFF"/>
            <w:tcMar>
              <w:top w:w="80" w:type="dxa"/>
              <w:bottom w:w="80" w:type="dxa"/>
              <w:left w:w="100" w:type="dxa"/>
              <w:right w:w="100" w:type="dxa"/>
            </w:tcMar>
          </w:tcPr>
          <w:p>
            <w:r>
              <w:t>STRIPPED (Pass)</w:t>
            </w:r>
          </w:p>
        </w:tc>
        <w:tc>
          <w:tcPr>
            <w:tcW w:type="dxa" w:w="1656"/>
            <w:shd w:fill="FFFFFF"/>
            <w:tcMar>
              <w:top w:w="80" w:type="dxa"/>
              <w:bottom w:w="80" w:type="dxa"/>
              <w:left w:w="100" w:type="dxa"/>
              <w:right w:w="100" w:type="dxa"/>
            </w:tcMar>
          </w:tcPr>
          <w:p>
            <w:r>
              <w:rPr>
                <w:b/>
                <w:color w:val="28A745"/>
              </w:rPr>
              <w:t>PASSED ✓</w:t>
            </w:r>
          </w:p>
        </w:tc>
      </w:tr>
      <w:tr>
        <w:tc>
          <w:tcPr>
            <w:tcW w:type="dxa" w:w="1656"/>
            <w:shd w:fill="EDF2F7"/>
            <w:tcMar>
              <w:top w:w="80" w:type="dxa"/>
              <w:bottom w:w="80" w:type="dxa"/>
              <w:left w:w="100" w:type="dxa"/>
              <w:right w:w="100" w:type="dxa"/>
            </w:tcMar>
          </w:tcPr>
          <w:p>
            <w:r>
              <w:rPr>
                <w:b/>
              </w:rPr>
              <w:t>CQ-06</w:t>
            </w:r>
          </w:p>
        </w:tc>
        <w:tc>
          <w:tcPr>
            <w:tcW w:type="dxa" w:w="1656"/>
            <w:shd w:fill="EDF2F7"/>
            <w:tcMar>
              <w:top w:w="80" w:type="dxa"/>
              <w:bottom w:w="80" w:type="dxa"/>
              <w:left w:w="100" w:type="dxa"/>
              <w:right w:w="100" w:type="dxa"/>
            </w:tcMar>
          </w:tcPr>
          <w:p>
            <w:r>
              <w:t>10 (Max 35)</w:t>
            </w:r>
          </w:p>
        </w:tc>
        <w:tc>
          <w:tcPr>
            <w:tcW w:type="dxa" w:w="1656"/>
            <w:shd w:fill="EDF2F7"/>
            <w:tcMar>
              <w:top w:w="80" w:type="dxa"/>
              <w:bottom w:w="80" w:type="dxa"/>
              <w:left w:w="100" w:type="dxa"/>
              <w:right w:w="100" w:type="dxa"/>
            </w:tcMar>
          </w:tcPr>
          <w:p>
            <w:r>
              <w:t>5 Chunks</w:t>
            </w:r>
          </w:p>
        </w:tc>
        <w:tc>
          <w:tcPr>
            <w:tcW w:type="dxa" w:w="1656"/>
            <w:shd w:fill="EDF2F7"/>
            <w:tcMar>
              <w:top w:w="80" w:type="dxa"/>
              <w:bottom w:w="80" w:type="dxa"/>
              <w:left w:w="100" w:type="dxa"/>
              <w:right w:w="100" w:type="dxa"/>
            </w:tcMar>
          </w:tcPr>
          <w:p>
            <w:r>
              <w:t>NONE (Pass)</w:t>
            </w:r>
          </w:p>
        </w:tc>
        <w:tc>
          <w:tcPr>
            <w:tcW w:type="dxa" w:w="1656"/>
            <w:shd w:fill="EDF2F7"/>
            <w:tcMar>
              <w:top w:w="80" w:type="dxa"/>
              <w:bottom w:w="80" w:type="dxa"/>
              <w:left w:w="100" w:type="dxa"/>
              <w:right w:w="100" w:type="dxa"/>
            </w:tcMar>
          </w:tcPr>
          <w:p>
            <w:r>
              <w:t>STRIPPED (Pass)</w:t>
            </w:r>
          </w:p>
        </w:tc>
        <w:tc>
          <w:tcPr>
            <w:tcW w:type="dxa" w:w="1656"/>
            <w:shd w:fill="EDF2F7"/>
            <w:tcMar>
              <w:top w:w="80" w:type="dxa"/>
              <w:bottom w:w="80" w:type="dxa"/>
              <w:left w:w="100" w:type="dxa"/>
              <w:right w:w="100" w:type="dxa"/>
            </w:tcMar>
          </w:tcPr>
          <w:p>
            <w:r>
              <w:rPr>
                <w:b/>
                <w:color w:val="28A745"/>
              </w:rPr>
              <w:t>PASSED ✓</w:t>
            </w:r>
          </w:p>
        </w:tc>
      </w:tr>
      <w:tr>
        <w:tc>
          <w:tcPr>
            <w:tcW w:type="dxa" w:w="1656"/>
            <w:shd w:fill="FFFFFF"/>
            <w:tcMar>
              <w:top w:w="80" w:type="dxa"/>
              <w:bottom w:w="80" w:type="dxa"/>
              <w:left w:w="100" w:type="dxa"/>
              <w:right w:w="100" w:type="dxa"/>
            </w:tcMar>
          </w:tcPr>
          <w:p>
            <w:r>
              <w:rPr>
                <w:b/>
              </w:rPr>
              <w:t>CQ-14</w:t>
            </w:r>
          </w:p>
        </w:tc>
        <w:tc>
          <w:tcPr>
            <w:tcW w:type="dxa" w:w="1656"/>
            <w:shd w:fill="FFFFFF"/>
            <w:tcMar>
              <w:top w:w="80" w:type="dxa"/>
              <w:bottom w:w="80" w:type="dxa"/>
              <w:left w:w="100" w:type="dxa"/>
              <w:right w:w="100" w:type="dxa"/>
            </w:tcMar>
          </w:tcPr>
          <w:p>
            <w:r>
              <w:t>23 (Max 35)</w:t>
            </w:r>
          </w:p>
        </w:tc>
        <w:tc>
          <w:tcPr>
            <w:tcW w:type="dxa" w:w="1656"/>
            <w:shd w:fill="FFFFFF"/>
            <w:tcMar>
              <w:top w:w="80" w:type="dxa"/>
              <w:bottom w:w="80" w:type="dxa"/>
              <w:left w:w="100" w:type="dxa"/>
              <w:right w:w="100" w:type="dxa"/>
            </w:tcMar>
          </w:tcPr>
          <w:p>
            <w:r>
              <w:t>5 Chunks</w:t>
            </w:r>
          </w:p>
        </w:tc>
        <w:tc>
          <w:tcPr>
            <w:tcW w:type="dxa" w:w="1656"/>
            <w:shd w:fill="FFFFFF"/>
            <w:tcMar>
              <w:top w:w="80" w:type="dxa"/>
              <w:bottom w:w="80" w:type="dxa"/>
              <w:left w:w="100" w:type="dxa"/>
              <w:right w:w="100" w:type="dxa"/>
            </w:tcMar>
          </w:tcPr>
          <w:p>
            <w:r>
              <w:t>NONE (Pass)</w:t>
            </w:r>
          </w:p>
        </w:tc>
        <w:tc>
          <w:tcPr>
            <w:tcW w:type="dxa" w:w="1656"/>
            <w:shd w:fill="FFFFFF"/>
            <w:tcMar>
              <w:top w:w="80" w:type="dxa"/>
              <w:bottom w:w="80" w:type="dxa"/>
              <w:left w:w="100" w:type="dxa"/>
              <w:right w:w="100" w:type="dxa"/>
            </w:tcMar>
          </w:tcPr>
          <w:p>
            <w:r>
              <w:t>STRIPPED (Pass)</w:t>
            </w:r>
          </w:p>
        </w:tc>
        <w:tc>
          <w:tcPr>
            <w:tcW w:type="dxa" w:w="1656"/>
            <w:shd w:fill="FFFFFF"/>
            <w:tcMar>
              <w:top w:w="80" w:type="dxa"/>
              <w:bottom w:w="80" w:type="dxa"/>
              <w:left w:w="100" w:type="dxa"/>
              <w:right w:w="100" w:type="dxa"/>
            </w:tcMar>
          </w:tcPr>
          <w:p>
            <w:r>
              <w:rPr>
                <w:b/>
                <w:color w:val="28A745"/>
              </w:rPr>
              <w:t>PASSED ✓</w:t>
            </w:r>
          </w:p>
        </w:tc>
      </w:tr>
      <w:tr>
        <w:tc>
          <w:tcPr>
            <w:tcW w:type="dxa" w:w="1656"/>
            <w:shd w:fill="EDF2F7"/>
            <w:tcMar>
              <w:top w:w="80" w:type="dxa"/>
              <w:bottom w:w="80" w:type="dxa"/>
              <w:left w:w="100" w:type="dxa"/>
              <w:right w:w="100" w:type="dxa"/>
            </w:tcMar>
          </w:tcPr>
          <w:p>
            <w:r>
              <w:rPr>
                <w:b/>
              </w:rPr>
              <w:t>CQ-20</w:t>
            </w:r>
          </w:p>
        </w:tc>
        <w:tc>
          <w:tcPr>
            <w:tcW w:type="dxa" w:w="1656"/>
            <w:shd w:fill="EDF2F7"/>
            <w:tcMar>
              <w:top w:w="80" w:type="dxa"/>
              <w:bottom w:w="80" w:type="dxa"/>
              <w:left w:w="100" w:type="dxa"/>
              <w:right w:w="100" w:type="dxa"/>
            </w:tcMar>
          </w:tcPr>
          <w:p>
            <w:r>
              <w:t>9 (Max 35)</w:t>
            </w:r>
          </w:p>
        </w:tc>
        <w:tc>
          <w:tcPr>
            <w:tcW w:type="dxa" w:w="1656"/>
            <w:shd w:fill="EDF2F7"/>
            <w:tcMar>
              <w:top w:w="80" w:type="dxa"/>
              <w:bottom w:w="80" w:type="dxa"/>
              <w:left w:w="100" w:type="dxa"/>
              <w:right w:w="100" w:type="dxa"/>
            </w:tcMar>
          </w:tcPr>
          <w:p>
            <w:r>
              <w:t>5 Chunks</w:t>
            </w:r>
          </w:p>
        </w:tc>
        <w:tc>
          <w:tcPr>
            <w:tcW w:type="dxa" w:w="1656"/>
            <w:shd w:fill="EDF2F7"/>
            <w:tcMar>
              <w:top w:w="80" w:type="dxa"/>
              <w:bottom w:w="80" w:type="dxa"/>
              <w:left w:w="100" w:type="dxa"/>
              <w:right w:w="100" w:type="dxa"/>
            </w:tcMar>
          </w:tcPr>
          <w:p>
            <w:r>
              <w:t>NONE (Pass)</w:t>
            </w:r>
          </w:p>
        </w:tc>
        <w:tc>
          <w:tcPr>
            <w:tcW w:type="dxa" w:w="1656"/>
            <w:shd w:fill="EDF2F7"/>
            <w:tcMar>
              <w:top w:w="80" w:type="dxa"/>
              <w:bottom w:w="80" w:type="dxa"/>
              <w:left w:w="100" w:type="dxa"/>
              <w:right w:w="100" w:type="dxa"/>
            </w:tcMar>
          </w:tcPr>
          <w:p>
            <w:r>
              <w:t>STRIPPED (Pass)</w:t>
            </w:r>
          </w:p>
        </w:tc>
        <w:tc>
          <w:tcPr>
            <w:tcW w:type="dxa" w:w="1656"/>
            <w:shd w:fill="EDF2F7"/>
            <w:tcMar>
              <w:top w:w="80" w:type="dxa"/>
              <w:bottom w:w="80" w:type="dxa"/>
              <w:left w:w="100" w:type="dxa"/>
              <w:right w:w="100" w:type="dxa"/>
            </w:tcMar>
          </w:tcPr>
          <w:p>
            <w:r>
              <w:rPr>
                <w:b/>
                <w:color w:val="28A745"/>
              </w:rPr>
              <w:t>PASSED ✓</w:t>
            </w:r>
          </w:p>
        </w:tc>
      </w:tr>
    </w:tbl>
    <w:p>
      <w:pPr>
        <w:spacing w:after="320"/>
      </w:pPr>
    </w:p>
    <w:p>
      <w:pPr>
        <w:keepNext/>
        <w:spacing w:before="360" w:after="120"/>
      </w:pPr>
      <w:r>
        <w:rPr>
          <w:rFonts w:ascii="Calibri" w:hAnsi="Calibri"/>
          <w:b/>
          <w:color w:val="0A2540"/>
          <w:sz w:val="36"/>
        </w:rPr>
        <w:t>2. Detailed Test Case Audit &amp; Responses</w:t>
      </w:r>
    </w:p>
    <w:p>
      <w:pPr>
        <w:keepNext/>
        <w:spacing w:before="280" w:after="80"/>
      </w:pPr>
      <w:r>
        <w:rPr>
          <w:rFonts w:ascii="Calibri" w:hAnsi="Calibri"/>
          <w:b/>
          <w:color w:val="2B6CB0"/>
          <w:sz w:val="28"/>
        </w:rPr>
        <w:t>Test Case 1: [CQ-01] Which companies are required to file Form DPT-3 and what is the due date of filing it for F.Y. 2025-26?</w:t>
      </w:r>
    </w:p>
    <w:p>
      <w:pPr>
        <w:spacing w:after="80"/>
      </w:pPr>
      <w:r>
        <w:rPr>
          <w:b/>
        </w:rPr>
        <w:t xml:space="preserve">Research Intent: </w:t>
      </w:r>
      <w:r>
        <w:t>Evaluate RAG accuracy, statutory grounding, citation parity, and chunk quota compliance for CQ-01.</w:t>
      </w:r>
    </w:p>
    <w:tbl>
      <w:tblPr>
        <w:tblW w:type="auto" w:w="0"/>
        <w:jc w:val="center"/>
        <w:tblLook w:firstColumn="1" w:firstRow="1" w:lastColumn="0" w:lastRow="0" w:noHBand="0" w:noVBand="1" w:val="04A0"/>
      </w:tblPr>
      <w:tblGrid>
        <w:gridCol w:w="2484"/>
        <w:gridCol w:w="2484"/>
        <w:gridCol w:w="2484"/>
        <w:gridCol w:w="2484"/>
      </w:tblGrid>
      <w:tr>
        <w:tc>
          <w:tcPr>
            <w:tcW w:type="dxa" w:w="2484"/>
            <w:shd w:fill="F7FAFC"/>
            <w:tcMar>
              <w:top w:w="80" w:type="dxa"/>
              <w:bottom w:w="80" w:type="dxa"/>
              <w:left w:w="100" w:type="dxa"/>
              <w:right w:w="100" w:type="dxa"/>
            </w:tcMar>
          </w:tcPr>
          <w:p>
            <w:r>
              <w:rPr>
                <w:b/>
              </w:rPr>
              <w:t>Chunks Retrieved:</w:t>
              <w:br/>
              <w:t>14 / 35 max</w:t>
            </w:r>
          </w:p>
        </w:tc>
        <w:tc>
          <w:tcPr>
            <w:tcW w:type="dxa" w:w="2484"/>
            <w:shd w:fill="F7FAFC"/>
            <w:tcMar>
              <w:top w:w="80" w:type="dxa"/>
              <w:bottom w:w="80" w:type="dxa"/>
              <w:left w:w="100" w:type="dxa"/>
              <w:right w:w="100" w:type="dxa"/>
            </w:tcMar>
          </w:tcPr>
          <w:p>
            <w:r>
              <w:rPr>
                <w:b/>
              </w:rPr>
              <w:t>Statutory Quota:</w:t>
              <w:br/>
              <w:t>5 Leg. Chunks</w:t>
            </w:r>
          </w:p>
        </w:tc>
        <w:tc>
          <w:tcPr>
            <w:tcW w:type="dxa" w:w="2484"/>
            <w:shd w:fill="F7FAFC"/>
            <w:tcMar>
              <w:top w:w="80" w:type="dxa"/>
              <w:bottom w:w="80" w:type="dxa"/>
              <w:left w:w="100" w:type="dxa"/>
              <w:right w:w="100" w:type="dxa"/>
            </w:tcMar>
          </w:tcPr>
          <w:p>
            <w:r>
              <w:rPr>
                <w:b/>
              </w:rPr>
              <w:t>UI Citations Parity:</w:t>
              <w:br/>
              <w:t>14 Cards</w:t>
            </w:r>
          </w:p>
        </w:tc>
        <w:tc>
          <w:tcPr>
            <w:tcW w:type="dxa" w:w="2484"/>
            <w:shd w:fill="F7FAFC"/>
            <w:tcMar>
              <w:top w:w="80" w:type="dxa"/>
              <w:bottom w:w="80" w:type="dxa"/>
              <w:left w:w="100" w:type="dxa"/>
              <w:right w:w="100" w:type="dxa"/>
            </w:tcMar>
          </w:tcPr>
          <w:p>
            <w:r>
              <w:rPr>
                <w:b/>
              </w:rPr>
              <w:t>Response Time:</w:t>
              <w:br/>
              <w:t>47.63 seconds</w:t>
            </w:r>
          </w:p>
        </w:tc>
      </w:tr>
    </w:tbl>
    <w:p>
      <w:pPr>
        <w:spacing w:after="120"/>
      </w:pPr>
    </w:p>
    <w:p>
      <w:pPr>
        <w:spacing w:before="80" w:after="40"/>
      </w:pPr>
      <w:r>
        <w:rPr>
          <w:b/>
          <w:color w:val="2B6CB0"/>
        </w:rPr>
        <w:t>Top Retrieved Sources:</w:t>
      </w:r>
    </w:p>
    <w:p>
      <w:pPr>
        <w:pStyle w:val="ListBullet"/>
        <w:spacing w:before="0" w:after="40"/>
      </w:pPr>
      <w:r>
        <w:rPr>
          <w:sz w:val="19"/>
        </w:rPr>
        <w:t>[Source 1] Legislation: Companies (Acceptance of Deposits) Rules, 2014 (Sec/Ref: N/A)</w:t>
      </w:r>
    </w:p>
    <w:p>
      <w:pPr>
        <w:pStyle w:val="ListBullet"/>
        <w:spacing w:before="0" w:after="40"/>
      </w:pPr>
      <w:r>
        <w:rPr>
          <w:sz w:val="19"/>
        </w:rPr>
        <w:t>[Source 2] Legislation: Companies (Acceptance of Deposits) Rules, 2014 (Sec/Ref: N/A)</w:t>
      </w:r>
    </w:p>
    <w:p>
      <w:pPr>
        <w:pStyle w:val="ListBullet"/>
        <w:spacing w:before="0" w:after="40"/>
      </w:pPr>
      <w:r>
        <w:rPr>
          <w:sz w:val="19"/>
        </w:rPr>
        <w:t>[Source 3] Legislation: Companies (Acceptance of Deposits) Rules, 2014 (Sec/Ref: N/A)</w:t>
      </w:r>
    </w:p>
    <w:p>
      <w:pPr>
        <w:pStyle w:val="ListBullet"/>
        <w:spacing w:before="0" w:after="40"/>
      </w:pPr>
      <w:r>
        <w:rPr>
          <w:sz w:val="19"/>
        </w:rPr>
        <w:t>[Source 4] Legislation: Companies (Acceptance of Deposits) Rules, 2014 (Sec/Ref: N/A)</w:t>
      </w:r>
    </w:p>
    <w:p>
      <w:pPr>
        <w:pStyle w:val="ListBullet"/>
        <w:spacing w:before="0" w:after="40"/>
      </w:pPr>
      <w:r>
        <w:rPr>
          <w:sz w:val="19"/>
        </w:rPr>
        <w:t>[Source 5] Legislation: Companies (Registration Offices and Fees) Rules, 2014 (Sec/Ref: N/A)</w:t>
      </w:r>
    </w:p>
    <w:p>
      <w:pPr>
        <w:spacing w:after="80"/>
      </w:pPr>
      <w:r>
        <w:rPr>
          <w:i/>
          <w:sz w:val="19"/>
        </w:rPr>
        <w:t>...and 9 additional reranked sources.</w:t>
      </w:r>
    </w:p>
    <w:p>
      <w:pPr>
        <w:spacing w:before="160" w:after="80"/>
      </w:pPr>
      <w:r>
        <w:rPr>
          <w:b/>
          <w:color w:val="0A2540"/>
        </w:rPr>
        <w:t>System Response (Generated Legal Memo Answer):</w:t>
      </w:r>
    </w:p>
    <w:tbl>
      <w:tblPr>
        <w:tblW w:type="auto" w:w="0"/>
        <w:jc w:val="center"/>
        <w:tblLayout w:type="fixed"/>
        <w:tblLook w:firstColumn="1" w:firstRow="1" w:lastColumn="0" w:lastRow="0" w:noHBand="0" w:noVBand="1" w:val="04A0"/>
      </w:tblPr>
      <w:tblGrid>
        <w:gridCol w:w="9936"/>
      </w:tblGrid>
      <w:tr>
        <w:tc>
          <w:tcPr>
            <w:tcW w:type="dxa" w:w="9792"/>
            <w:shd w:fill="FAFAFA"/>
            <w:tcMar>
              <w:top w:w="120" w:type="dxa"/>
              <w:bottom w:w="120" w:type="dxa"/>
              <w:left w:w="150" w:type="dxa"/>
              <w:right w:w="150" w:type="dxa"/>
            </w:tcMar>
          </w:tcPr>
          <w:p>
            <w:pPr>
              <w:spacing w:before="0" w:after="0"/>
            </w:pPr>
            <w:r>
              <w:rPr>
                <w:color w:val="2D3748"/>
                <w:sz w:val="20"/>
              </w:rPr>
              <w:t>Under the Companies (Acceptance of Deposits) Rules, 2014, every company to which these rules apply must file a return in Form DPT-3 with the Registrar on or before the 30th day of June of every year, furnishing information as on the 31st day of March of that year, duly audited by the company's auditor [Source 2]. For the Financial Year 2025-26, the due date for filing Form DPT-3 is 30th June 2026 [Source 6].</w:t>
              <w:br/>
              <w:br/>
              <w:t>**Applicability and Companies Required to File**</w:t>
              <w:br/>
              <w:br/>
              <w:t>Form DPT-3 is used for filing the return of deposits or particulars of transactions not considered as deposits, or both, by every company other than a Government company [Source 2]. The filing obligation extends to various categories of companies:</w:t>
              <w:br/>
              <w:br/>
              <w:t>- **Companies accepting deposits from members**: A Specified IFSC Public company and a private company may accept from its members monies not exceeding one hundred per cent of the aggregate of the paid-up share capital, free reserves and securities premium account, and such company shall file the details of monies so accepted to the Registrar in Form DPT-3 [Source 1].</w:t>
              <w:br/>
              <w:t>- **All companies accepting deposits**: All companies accepting deposits shall file the details of monies so accepted to the Registrar in Form DPT-3 [Source 3].</w:t>
              <w:br/>
              <w:t>- **Eligible companies**: No eligible company shall accept or renew any deposit from its members exceeding ten per cent of the aggregate of paid-up share capital, free reserves and securities premium account, or any other deposit exceeding twenty-five per cent of such aggregate [Source 3].</w:t>
              <w:br/>
              <w:br/>
              <w:t>**Certification Requirement**</w:t>
              <w:br/>
              <w:br/>
              <w:t>Form DPT-3 requires certification by the Auditors of the company [Source 5, 7]. The return must be filed along with the fee as provided in the Companies (Registration Offices and Fees) Rules, 2014, and the information contained therein must be duly audited by the auditor of the company, with a declaration to that effect submitted by the auditor in Form DPT-3 [Source 2].</w:t>
              <w:br/>
              <w:br/>
              <w:t>**Due Date and Relaxation for F.Y. 2025-26**</w:t>
              <w:br/>
              <w:br/>
              <w:t>The due date for filing Form DPT-3 is 30th June 2026 for the Financial Year 2025-2026 [Source 6]. However, in view of capacity enhancement/restoration activities being done at the Data Center consequent to a fire incident on 05/06/2026, the MCA has issued General Circular No. 02/2026 dated 19th June 2026, allowing companies to file Form DPT-3 for the financial year 2025-2026 without paying additional fees up to 31st July 2026 [Source 6].</w:t>
              <w:br/>
              <w:br/>
              <w:t>The bottom line is that all companies covered under the Companies (Acceptance of Deposits) Rules, 2014—other than Government companies—must file Form DPT-3 by 30th June 2026 for F.Y. 2025-26, with a relaxation allowing filing without additional fees up to 31st July 2026.</w:t>
            </w:r>
          </w:p>
        </w:tc>
      </w:tr>
    </w:tbl>
    <w:p>
      <w:pPr>
        <w:spacing w:after="120"/>
      </w:pPr>
    </w:p>
    <w:p>
      <w:pPr>
        <w:spacing w:before="80" w:after="40"/>
      </w:pPr>
      <w:r>
        <w:rPr>
          <w:b/>
          <w:color w:val="2B6CB0"/>
        </w:rPr>
        <w:t>Generated Follow-Up Research Questions:</w:t>
      </w:r>
    </w:p>
    <w:p>
      <w:pPr>
        <w:pStyle w:val="ListBullet"/>
        <w:spacing w:before="0" w:after="40"/>
      </w:pPr>
      <w:r>
        <w:rPr>
          <w:sz w:val="20"/>
        </w:rPr>
        <w:t>What is the penalty for late filing of Form DPT-3?</w:t>
      </w:r>
    </w:p>
    <w:p>
      <w:pPr>
        <w:pStyle w:val="ListBullet"/>
        <w:spacing w:before="0" w:after="40"/>
      </w:pPr>
      <w:r>
        <w:rPr>
          <w:sz w:val="20"/>
        </w:rPr>
        <w:t>Are private companies exempt from filing Form DPT-3?</w:t>
      </w:r>
    </w:p>
    <w:p>
      <w:pPr>
        <w:pStyle w:val="ListBullet"/>
        <w:spacing w:before="0" w:after="40"/>
      </w:pPr>
      <w:r>
        <w:rPr>
          <w:sz w:val="20"/>
        </w:rPr>
        <w:t>What transactions are not considered as deposits for the purpose of Form DPT-3?</w:t>
      </w:r>
    </w:p>
    <w:p>
      <w:pPr>
        <w:spacing w:after="280"/>
      </w:pPr>
    </w:p>
    <w:p>
      <w:pPr>
        <w:keepNext/>
        <w:spacing w:before="280" w:after="80"/>
      </w:pPr>
      <w:r>
        <w:rPr>
          <w:rFonts w:ascii="Calibri" w:hAnsi="Calibri"/>
          <w:b/>
          <w:color w:val="2B6CB0"/>
          <w:sz w:val="28"/>
        </w:rPr>
        <w:t>Test Case 2: [CQ-03] Who is a 'person acting in concert'? What is the landmark case on it?</w:t>
      </w:r>
    </w:p>
    <w:p>
      <w:pPr>
        <w:spacing w:after="80"/>
      </w:pPr>
      <w:r>
        <w:rPr>
          <w:b/>
        </w:rPr>
        <w:t xml:space="preserve">Research Intent: </w:t>
      </w:r>
      <w:r>
        <w:t>Evaluate RAG accuracy, statutory grounding, citation parity, and chunk quota compliance for CQ-03.</w:t>
      </w:r>
    </w:p>
    <w:tbl>
      <w:tblPr>
        <w:tblW w:type="auto" w:w="0"/>
        <w:jc w:val="center"/>
        <w:tblLook w:firstColumn="1" w:firstRow="1" w:lastColumn="0" w:lastRow="0" w:noHBand="0" w:noVBand="1" w:val="04A0"/>
      </w:tblPr>
      <w:tblGrid>
        <w:gridCol w:w="2484"/>
        <w:gridCol w:w="2484"/>
        <w:gridCol w:w="2484"/>
        <w:gridCol w:w="2484"/>
      </w:tblGrid>
      <w:tr>
        <w:tc>
          <w:tcPr>
            <w:tcW w:type="dxa" w:w="2484"/>
            <w:shd w:fill="F7FAFC"/>
            <w:tcMar>
              <w:top w:w="80" w:type="dxa"/>
              <w:bottom w:w="80" w:type="dxa"/>
              <w:left w:w="100" w:type="dxa"/>
              <w:right w:w="100" w:type="dxa"/>
            </w:tcMar>
          </w:tcPr>
          <w:p>
            <w:r>
              <w:rPr>
                <w:b/>
              </w:rPr>
              <w:t>Chunks Retrieved:</w:t>
              <w:br/>
              <w:t>8 / 35 max</w:t>
            </w:r>
          </w:p>
        </w:tc>
        <w:tc>
          <w:tcPr>
            <w:tcW w:type="dxa" w:w="2484"/>
            <w:shd w:fill="F7FAFC"/>
            <w:tcMar>
              <w:top w:w="80" w:type="dxa"/>
              <w:bottom w:w="80" w:type="dxa"/>
              <w:left w:w="100" w:type="dxa"/>
              <w:right w:w="100" w:type="dxa"/>
            </w:tcMar>
          </w:tcPr>
          <w:p>
            <w:r>
              <w:rPr>
                <w:b/>
              </w:rPr>
              <w:t>Statutory Quota:</w:t>
              <w:br/>
              <w:t>5 Leg. Chunks</w:t>
            </w:r>
          </w:p>
        </w:tc>
        <w:tc>
          <w:tcPr>
            <w:tcW w:type="dxa" w:w="2484"/>
            <w:shd w:fill="F7FAFC"/>
            <w:tcMar>
              <w:top w:w="80" w:type="dxa"/>
              <w:bottom w:w="80" w:type="dxa"/>
              <w:left w:w="100" w:type="dxa"/>
              <w:right w:w="100" w:type="dxa"/>
            </w:tcMar>
          </w:tcPr>
          <w:p>
            <w:r>
              <w:rPr>
                <w:b/>
              </w:rPr>
              <w:t>UI Citations Parity:</w:t>
              <w:br/>
              <w:t>8 Cards</w:t>
            </w:r>
          </w:p>
        </w:tc>
        <w:tc>
          <w:tcPr>
            <w:tcW w:type="dxa" w:w="2484"/>
            <w:shd w:fill="F7FAFC"/>
            <w:tcMar>
              <w:top w:w="80" w:type="dxa"/>
              <w:bottom w:w="80" w:type="dxa"/>
              <w:left w:w="100" w:type="dxa"/>
              <w:right w:w="100" w:type="dxa"/>
            </w:tcMar>
          </w:tcPr>
          <w:p>
            <w:r>
              <w:rPr>
                <w:b/>
              </w:rPr>
              <w:t>Response Time:</w:t>
              <w:br/>
              <w:t>30.15 seconds</w:t>
            </w:r>
          </w:p>
        </w:tc>
      </w:tr>
    </w:tbl>
    <w:p>
      <w:pPr>
        <w:spacing w:after="120"/>
      </w:pPr>
    </w:p>
    <w:p>
      <w:pPr>
        <w:spacing w:before="80" w:after="40"/>
      </w:pPr>
      <w:r>
        <w:rPr>
          <w:b/>
          <w:color w:val="2B6CB0"/>
        </w:rPr>
        <w:t>Top Retrieved Sources:</w:t>
      </w:r>
    </w:p>
    <w:p>
      <w:pPr>
        <w:pStyle w:val="ListBullet"/>
        <w:spacing w:before="0" w:after="40"/>
      </w:pPr>
      <w:r>
        <w:rPr>
          <w:sz w:val="19"/>
        </w:rPr>
        <w:t>[Source 1] Legislation: Chartered Accountants Act 1949 (Sec/Ref: N/A)</w:t>
      </w:r>
    </w:p>
    <w:p>
      <w:pPr>
        <w:pStyle w:val="ListBullet"/>
        <w:spacing w:before="0" w:after="40"/>
      </w:pPr>
      <w:r>
        <w:rPr>
          <w:sz w:val="19"/>
        </w:rPr>
        <w:t>[Source 2] Legislation: Arbitration and Conciliation Act 1996 (Sec/Ref: N/A)</w:t>
      </w:r>
    </w:p>
    <w:p>
      <w:pPr>
        <w:pStyle w:val="ListBullet"/>
        <w:spacing w:before="0" w:after="40"/>
      </w:pPr>
      <w:r>
        <w:rPr>
          <w:sz w:val="19"/>
        </w:rPr>
        <w:t>[Source 3] Legislation: Chartered Accountants Act 1949 (Sec/Ref: N/A)</w:t>
      </w:r>
    </w:p>
    <w:p>
      <w:pPr>
        <w:pStyle w:val="ListBullet"/>
        <w:spacing w:before="0" w:after="40"/>
      </w:pPr>
      <w:r>
        <w:rPr>
          <w:sz w:val="19"/>
        </w:rPr>
        <w:t>[Source 4] Legislation: Arbitration and Conciliation Act 1996 (Sec/Ref: N/A)</w:t>
      </w:r>
    </w:p>
    <w:p>
      <w:pPr>
        <w:pStyle w:val="ListBullet"/>
        <w:spacing w:before="0" w:after="40"/>
      </w:pPr>
      <w:r>
        <w:rPr>
          <w:sz w:val="19"/>
        </w:rPr>
        <w:t>[Source 5] Legislation: Chartered Accountants Act 1949 (Sec/Ref: N/A)</w:t>
      </w:r>
    </w:p>
    <w:p>
      <w:pPr>
        <w:spacing w:after="80"/>
      </w:pPr>
      <w:r>
        <w:rPr>
          <w:i/>
          <w:sz w:val="19"/>
        </w:rPr>
        <w:t>...and 3 additional reranked sources.</w:t>
      </w:r>
    </w:p>
    <w:p>
      <w:pPr>
        <w:spacing w:before="160" w:after="80"/>
      </w:pPr>
      <w:r>
        <w:rPr>
          <w:b/>
          <w:color w:val="0A2540"/>
        </w:rPr>
        <w:t>System Response (Generated Legal Memo Answer):</w:t>
      </w:r>
    </w:p>
    <w:tbl>
      <w:tblPr>
        <w:tblW w:type="auto" w:w="0"/>
        <w:jc w:val="center"/>
        <w:tblLayout w:type="fixed"/>
        <w:tblLook w:firstColumn="1" w:firstRow="1" w:lastColumn="0" w:lastRow="0" w:noHBand="0" w:noVBand="1" w:val="04A0"/>
      </w:tblPr>
      <w:tblGrid>
        <w:gridCol w:w="9936"/>
      </w:tblGrid>
      <w:tr>
        <w:tc>
          <w:tcPr>
            <w:tcW w:type="dxa" w:w="9792"/>
            <w:shd w:fill="FAFAFA"/>
            <w:tcMar>
              <w:top w:w="120" w:type="dxa"/>
              <w:bottom w:w="120" w:type="dxa"/>
              <w:left w:w="150" w:type="dxa"/>
              <w:right w:w="150" w:type="dxa"/>
            </w:tcMar>
          </w:tcPr>
          <w:p>
            <w:pPr>
              <w:spacing w:before="0" w:after="0"/>
            </w:pPr>
            <w:r>
              <w:rPr>
                <w:color w:val="2D3748"/>
                <w:sz w:val="20"/>
              </w:rPr>
              <w:t>The term "person acting in concert" is defined in the context of control over an intermediary, where "control" includes the power to directly or indirectly control the management or policy decisions of such intermediary by persons acting individually or in concert [Source 1]. This definition appears in the context of the Chartered Accountants Act, 1949, and relates to intermediaries, indicating that persons acting in concert collectively exercise control over an entity's management or policy decisions [Source 1].</w:t>
              <w:br/>
              <w:br/>
              <w:t>**Statutory Framework**</w:t>
              <w:br/>
              <w:br/>
              <w:t>The retrieved materials do not contain a standalone statutory definition of "person acting in concert" under securities law or the Companies Act. The only reference is the definition of "control" in relation to an intermediary, which expressly includes the power to control management or policy decisions "by person or persons acting individually or in concert" [Source 1]. This suggests that the concept of acting in concert is integral to determining control, where multiple persons acting together can collectively constitute control over an intermediary.</w:t>
              <w:br/>
              <w:br/>
              <w:t>**Case Law**</w:t>
              <w:br/>
              <w:br/>
              <w:t>The retrieved case law does not address the concept of "person acting in concert" directly. The only case available is *Independent Sugar Corporation Ltd. v. Girish Sriram Juneja and Others* [2025] 184 CLA 214 (SC), which concerns the Insolvency and Bankruptcy Code, 2016, and the Competition Act, 2002 [Source 6, 7]. That case deals with the meaning of "any person aggrieved" for locus standi in appeals and the mandatory prior approval of the Competition Commission of India for resolution plans containing combinations [Source 6, 7]. It does not discuss or establish any principle regarding "persons acting in concert."</w:t>
              <w:br/>
              <w:br/>
              <w:t>The retrieved database does not contain the landmark case on "person acting in concert" that is typically cited in securities law jurisprudence. No case law in the retrieved materials addresses this concept, and therefore no landmark decision on this specific issue is available in the database.</w:t>
              <w:br/>
              <w:br/>
              <w:t>I could not find authority on the landmark case for "person acting in concert" in the CLAOnline database. Please try rephrasing or narrowing your question.</w:t>
            </w:r>
          </w:p>
        </w:tc>
      </w:tr>
    </w:tbl>
    <w:p>
      <w:pPr>
        <w:spacing w:after="120"/>
      </w:pPr>
    </w:p>
    <w:p>
      <w:pPr>
        <w:spacing w:before="80" w:after="40"/>
      </w:pPr>
      <w:r>
        <w:rPr>
          <w:b/>
          <w:color w:val="2B6CB0"/>
        </w:rPr>
        <w:t>Generated Follow-Up Research Questions:</w:t>
      </w:r>
    </w:p>
    <w:p>
      <w:pPr>
        <w:pStyle w:val="ListBullet"/>
        <w:spacing w:before="0" w:after="40"/>
      </w:pPr>
      <w:r>
        <w:rPr>
          <w:sz w:val="20"/>
        </w:rPr>
        <w:t>What is the definition of "control" under the SEBI Takeover Code?</w:t>
      </w:r>
    </w:p>
    <w:p>
      <w:pPr>
        <w:pStyle w:val="ListBullet"/>
        <w:spacing w:before="0" w:after="40"/>
      </w:pPr>
      <w:r>
        <w:rPr>
          <w:sz w:val="20"/>
        </w:rPr>
        <w:t>Which cases discuss the concept of persons acting in concert in takeover regulations?</w:t>
      </w:r>
    </w:p>
    <w:p>
      <w:pPr>
        <w:pStyle w:val="ListBullet"/>
        <w:spacing w:before="0" w:after="40"/>
      </w:pPr>
      <w:r>
        <w:rPr>
          <w:sz w:val="20"/>
        </w:rPr>
        <w:t>What are the disclosure obligations for persons acting in concert under securities law?</w:t>
      </w:r>
    </w:p>
    <w:p>
      <w:pPr>
        <w:spacing w:after="280"/>
      </w:pPr>
    </w:p>
    <w:p>
      <w:pPr>
        <w:keepNext/>
        <w:spacing w:before="280" w:after="80"/>
      </w:pPr>
      <w:r>
        <w:rPr>
          <w:rFonts w:ascii="Calibri" w:hAnsi="Calibri"/>
          <w:b/>
          <w:color w:val="2B6CB0"/>
          <w:sz w:val="28"/>
        </w:rPr>
        <w:t>Test Case 3: [CQ-06] The board wants to sell one idle property that earns no revenue. Is a special resolution under Section 180 still needed, or only when selling the whole undertaking?</w:t>
      </w:r>
    </w:p>
    <w:p>
      <w:pPr>
        <w:spacing w:after="80"/>
      </w:pPr>
      <w:r>
        <w:rPr>
          <w:b/>
        </w:rPr>
        <w:t xml:space="preserve">Research Intent: </w:t>
      </w:r>
      <w:r>
        <w:t>Evaluate RAG accuracy, statutory grounding, citation parity, and chunk quota compliance for CQ-06.</w:t>
      </w:r>
    </w:p>
    <w:tbl>
      <w:tblPr>
        <w:tblW w:type="auto" w:w="0"/>
        <w:jc w:val="center"/>
        <w:tblLook w:firstColumn="1" w:firstRow="1" w:lastColumn="0" w:lastRow="0" w:noHBand="0" w:noVBand="1" w:val="04A0"/>
      </w:tblPr>
      <w:tblGrid>
        <w:gridCol w:w="2484"/>
        <w:gridCol w:w="2484"/>
        <w:gridCol w:w="2484"/>
        <w:gridCol w:w="2484"/>
      </w:tblGrid>
      <w:tr>
        <w:tc>
          <w:tcPr>
            <w:tcW w:type="dxa" w:w="2484"/>
            <w:shd w:fill="F7FAFC"/>
            <w:tcMar>
              <w:top w:w="80" w:type="dxa"/>
              <w:bottom w:w="80" w:type="dxa"/>
              <w:left w:w="100" w:type="dxa"/>
              <w:right w:w="100" w:type="dxa"/>
            </w:tcMar>
          </w:tcPr>
          <w:p>
            <w:r>
              <w:rPr>
                <w:b/>
              </w:rPr>
              <w:t>Chunks Retrieved:</w:t>
              <w:br/>
              <w:t>10 / 35 max</w:t>
            </w:r>
          </w:p>
        </w:tc>
        <w:tc>
          <w:tcPr>
            <w:tcW w:type="dxa" w:w="2484"/>
            <w:shd w:fill="F7FAFC"/>
            <w:tcMar>
              <w:top w:w="80" w:type="dxa"/>
              <w:bottom w:w="80" w:type="dxa"/>
              <w:left w:w="100" w:type="dxa"/>
              <w:right w:w="100" w:type="dxa"/>
            </w:tcMar>
          </w:tcPr>
          <w:p>
            <w:r>
              <w:rPr>
                <w:b/>
              </w:rPr>
              <w:t>Statutory Quota:</w:t>
              <w:br/>
              <w:t>5 Leg. Chunks</w:t>
            </w:r>
          </w:p>
        </w:tc>
        <w:tc>
          <w:tcPr>
            <w:tcW w:type="dxa" w:w="2484"/>
            <w:shd w:fill="F7FAFC"/>
            <w:tcMar>
              <w:top w:w="80" w:type="dxa"/>
              <w:bottom w:w="80" w:type="dxa"/>
              <w:left w:w="100" w:type="dxa"/>
              <w:right w:w="100" w:type="dxa"/>
            </w:tcMar>
          </w:tcPr>
          <w:p>
            <w:r>
              <w:rPr>
                <w:b/>
              </w:rPr>
              <w:t>UI Citations Parity:</w:t>
              <w:br/>
              <w:t>10 Cards</w:t>
            </w:r>
          </w:p>
        </w:tc>
        <w:tc>
          <w:tcPr>
            <w:tcW w:type="dxa" w:w="2484"/>
            <w:shd w:fill="F7FAFC"/>
            <w:tcMar>
              <w:top w:w="80" w:type="dxa"/>
              <w:bottom w:w="80" w:type="dxa"/>
              <w:left w:w="100" w:type="dxa"/>
              <w:right w:w="100" w:type="dxa"/>
            </w:tcMar>
          </w:tcPr>
          <w:p>
            <w:r>
              <w:rPr>
                <w:b/>
              </w:rPr>
              <w:t>Response Time:</w:t>
              <w:br/>
              <w:t>40.96 seconds</w:t>
            </w:r>
          </w:p>
        </w:tc>
      </w:tr>
    </w:tbl>
    <w:p>
      <w:pPr>
        <w:spacing w:after="120"/>
      </w:pPr>
    </w:p>
    <w:p>
      <w:pPr>
        <w:spacing w:before="80" w:after="40"/>
      </w:pPr>
      <w:r>
        <w:rPr>
          <w:b/>
          <w:color w:val="2B6CB0"/>
        </w:rPr>
        <w:t>Top Retrieved Sources:</w:t>
      </w:r>
    </w:p>
    <w:p>
      <w:pPr>
        <w:pStyle w:val="ListBullet"/>
        <w:spacing w:before="0" w:after="40"/>
      </w:pPr>
      <w:r>
        <w:rPr>
          <w:sz w:val="19"/>
        </w:rPr>
        <w:t>[Source 1] Legislation: Indian Contract Act 1872 (Sec/Ref: N/A)</w:t>
      </w:r>
    </w:p>
    <w:p>
      <w:pPr>
        <w:pStyle w:val="ListBullet"/>
        <w:spacing w:before="0" w:after="40"/>
      </w:pPr>
      <w:r>
        <w:rPr>
          <w:sz w:val="19"/>
        </w:rPr>
        <w:t>[Source 2] Legislation: Copyright Act 1957 (Sec/Ref: N/A)</w:t>
      </w:r>
    </w:p>
    <w:p>
      <w:pPr>
        <w:pStyle w:val="ListBullet"/>
        <w:spacing w:before="0" w:after="40"/>
      </w:pPr>
      <w:r>
        <w:rPr>
          <w:sz w:val="19"/>
        </w:rPr>
        <w:t>[Source 3] Legislation: Arbitration and Conciliation Act 1996 (Sec/Ref: N/A)</w:t>
      </w:r>
    </w:p>
    <w:p>
      <w:pPr>
        <w:pStyle w:val="ListBullet"/>
        <w:spacing w:before="0" w:after="40"/>
      </w:pPr>
      <w:r>
        <w:rPr>
          <w:sz w:val="19"/>
        </w:rPr>
        <w:t>[Source 4] Legislation: Indian Contract Act 1872 (Sec/Ref: N/A)</w:t>
      </w:r>
    </w:p>
    <w:p>
      <w:pPr>
        <w:pStyle w:val="ListBullet"/>
        <w:spacing w:before="0" w:after="40"/>
      </w:pPr>
      <w:r>
        <w:rPr>
          <w:sz w:val="19"/>
        </w:rPr>
        <w:t>[Source 5] Legislation: Air (Prevention and Control of Pollution) Act 1981 (Sec/Ref: N/A)</w:t>
      </w:r>
    </w:p>
    <w:p>
      <w:pPr>
        <w:spacing w:after="80"/>
      </w:pPr>
      <w:r>
        <w:rPr>
          <w:i/>
          <w:sz w:val="19"/>
        </w:rPr>
        <w:t>...and 5 additional reranked sources.</w:t>
      </w:r>
    </w:p>
    <w:p>
      <w:pPr>
        <w:spacing w:before="160" w:after="80"/>
      </w:pPr>
      <w:r>
        <w:rPr>
          <w:b/>
          <w:color w:val="0A2540"/>
        </w:rPr>
        <w:t>System Response (Generated Legal Memo Answer):</w:t>
      </w:r>
    </w:p>
    <w:tbl>
      <w:tblPr>
        <w:tblW w:type="auto" w:w="0"/>
        <w:jc w:val="center"/>
        <w:tblLayout w:type="fixed"/>
        <w:tblLook w:firstColumn="1" w:firstRow="1" w:lastColumn="0" w:lastRow="0" w:noHBand="0" w:noVBand="1" w:val="04A0"/>
      </w:tblPr>
      <w:tblGrid>
        <w:gridCol w:w="9936"/>
      </w:tblGrid>
      <w:tr>
        <w:tc>
          <w:tcPr>
            <w:tcW w:type="dxa" w:w="9792"/>
            <w:shd w:fill="FAFAFA"/>
            <w:tcMar>
              <w:top w:w="120" w:type="dxa"/>
              <w:bottom w:w="120" w:type="dxa"/>
              <w:left w:w="150" w:type="dxa"/>
              <w:right w:w="150" w:type="dxa"/>
            </w:tcMar>
          </w:tcPr>
          <w:p>
            <w:pPr>
              <w:spacing w:before="0" w:after="0"/>
            </w:pPr>
            <w:r>
              <w:rPr>
                <w:color w:val="2D3748"/>
                <w:sz w:val="20"/>
              </w:rPr>
              <w:t>The sale of a single idle property that earns no revenue would **not** require a special resolution under Section 180(1)(a) of the Companies Act, 2013, provided the property is merely an individual asset and not the whole or substantially the whole of the company's undertaking. The special resolution requirement under Section 180(1)(a) is triggered only when the Board seeks to sell, lease, or otherwise dispose of the whole or substantially the whole of the undertaking of the company, or where the company owns more than one undertaking, the whole or substantially the whole of any such undertaking [Source 9, 10]. The statutory threshold is therefore tied to the disposal of an "undertaking," not to the sale of an isolated asset.</w:t>
              <w:br/>
              <w:br/>
              <w:t>**Distinction Between "Asset" and "Undertaking"**</w:t>
              <w:br/>
              <w:br/>
              <w:t>The expression "undertaking" in Section 180 cannot be taken as a synonym for "asset." The Act does not expressly define the terms "asset" and "undertaking," but it can be inferred from their usage in the Act, together with judicial pronouncements, that there is a legislative intent to give different meanings to both terms [Source 7]. If a property is merely an individual asset, it cannot be intermingled or used as a synonym for "undertaking" [Source 7, 8]. The term "undertaking" and "substantially the whole of the undertaking" carry the same meaning as assigned under Section 180(1)(a) of the Companies Act, 2013, including for the purposes of the SEBI (Listing Obligations and Disclosure Requirements) Regulations, which require a special resolution for disposal of the whole or substantially the whole of an undertaking [Source 1, 4].</w:t>
              <w:br/>
              <w:br/>
              <w:t>**Applicable Case Law**</w:t>
              <w:br/>
              <w:br/>
              <w:t>In *Madhukar Anantrao Pathak &amp; Others v. MPTA Ltd. &amp; Another* and *Buttepatil Properties v. Madhukar Anantrao Pathak &amp; Others* [2025] 188 CLA (Snr.) 6 (NCLT), the National Company Law Tribunal, Mumbai Bench, held that the sale of property which is an asset and not an undertaking of the company would not require a special resolution as mandated under clause (a) of sub-section (1) of Section 180 [Source 6, 7]. In that case, the company sold an individual asset — a bungalow property that did not form a source of any revenue but was mortgaged against an outstanding loan — and the Tribunal concluded that the Board of directors could sell the property by passing the required resolution without a special resolution under Section 180 [Source 6, 8]. The Tribunal observed that the property was merely an individual asset of the company and could not be intermingled or used as a synonym for "undertaking" in view of the clear distinction made by the Legislature [Source 8].</w:t>
              <w:br/>
              <w:br/>
              <w:t>**Practical Application to the Board's Proposal**</w:t>
              <w:br/>
              <w:br/>
              <w:t>Applying these principles to the board's proposal to sell one idle property that earns no revenue, the key question is whether that property constitutes the whole or substantially the whole of the company's undertaking. If the company owns only that single property and it constitutes substantially the whole of its undertaking, a special resolution under Section 180(1)(a) would be required. However, if the property is merely one individual asset among others and does not constitute the whole or substantially the whole of the undertaking, no special resolution under Section 180(1)(a) is needed, and the Board can sell it by passing an ordinary board resolution [Source 6, 8]. The fact that the property earns no revenue supports the conclusion that it is an individual asset rather than an undertaking, as an undertaking typically connotes a revenue-generating business activity [Source 6, 8].</w:t>
              <w:br/>
              <w:br/>
              <w:t>The strongest authority on this point is a single NCLT decision, which is a first-instance tribunal ruling and is persuasive rather than binding on higher courts, though it directly addresses the precise question raised [Source 6, 7].</w:t>
              <w:br/>
              <w:br/>
              <w:t>In conclusion, a special resolution under Section 180(1)(a) is required only when selling the whole or substantially the whole of the undertaking, not when selling an individual idle asset that earns no revenue. The Board may proceed with an ordinary resolution for the sale of such an asset, provided it does not constitute the whole or substantially the whole of the company's undertaking.</w:t>
            </w:r>
          </w:p>
        </w:tc>
      </w:tr>
    </w:tbl>
    <w:p>
      <w:pPr>
        <w:spacing w:after="120"/>
      </w:pPr>
    </w:p>
    <w:p>
      <w:pPr>
        <w:spacing w:before="80" w:after="40"/>
      </w:pPr>
      <w:r>
        <w:rPr>
          <w:b/>
          <w:color w:val="2B6CB0"/>
        </w:rPr>
        <w:t>Generated Follow-Up Research Questions:</w:t>
      </w:r>
    </w:p>
    <w:p>
      <w:pPr>
        <w:pStyle w:val="ListBullet"/>
        <w:spacing w:before="0" w:after="40"/>
      </w:pPr>
      <w:r>
        <w:rPr>
          <w:sz w:val="20"/>
        </w:rPr>
        <w:t>What constitutes "substantially the whole of the undertaking" for the purposes of Section 180(1)(a)?</w:t>
      </w:r>
    </w:p>
    <w:p>
      <w:pPr>
        <w:pStyle w:val="ListBullet"/>
        <w:spacing w:before="0" w:after="40"/>
      </w:pPr>
      <w:r>
        <w:rPr>
          <w:sz w:val="20"/>
        </w:rPr>
        <w:t>Does the SEBI LODR special resolution requirement apply to unlisted companies?</w:t>
      </w:r>
    </w:p>
    <w:p>
      <w:pPr>
        <w:pStyle w:val="ListBullet"/>
        <w:spacing w:before="0" w:after="40"/>
      </w:pPr>
      <w:r>
        <w:rPr>
          <w:sz w:val="20"/>
        </w:rPr>
        <w:t>What are the consequences of selling an undertaking without the required special resolution?</w:t>
      </w:r>
    </w:p>
    <w:p>
      <w:pPr>
        <w:spacing w:after="280"/>
      </w:pPr>
    </w:p>
    <w:p>
      <w:pPr>
        <w:keepNext/>
        <w:spacing w:before="280" w:after="80"/>
      </w:pPr>
      <w:r>
        <w:rPr>
          <w:rFonts w:ascii="Calibri" w:hAnsi="Calibri"/>
          <w:b/>
          <w:color w:val="2B6CB0"/>
          <w:sz w:val="28"/>
        </w:rPr>
        <w:t>Test Case 4: [CQ-14] An unlisted company wants to buy back some shares. What resolution is needed under Section 68, and is there anything in law that could block it?</w:t>
      </w:r>
    </w:p>
    <w:p>
      <w:pPr>
        <w:spacing w:after="80"/>
      </w:pPr>
      <w:r>
        <w:rPr>
          <w:b/>
        </w:rPr>
        <w:t xml:space="preserve">Research Intent: </w:t>
      </w:r>
      <w:r>
        <w:t>Evaluate RAG accuracy, statutory grounding, citation parity, and chunk quota compliance for CQ-14.</w:t>
      </w:r>
    </w:p>
    <w:tbl>
      <w:tblPr>
        <w:tblW w:type="auto" w:w="0"/>
        <w:jc w:val="center"/>
        <w:tblLook w:firstColumn="1" w:firstRow="1" w:lastColumn="0" w:lastRow="0" w:noHBand="0" w:noVBand="1" w:val="04A0"/>
      </w:tblPr>
      <w:tblGrid>
        <w:gridCol w:w="2484"/>
        <w:gridCol w:w="2484"/>
        <w:gridCol w:w="2484"/>
        <w:gridCol w:w="2484"/>
      </w:tblGrid>
      <w:tr>
        <w:tc>
          <w:tcPr>
            <w:tcW w:type="dxa" w:w="2484"/>
            <w:shd w:fill="F7FAFC"/>
            <w:tcMar>
              <w:top w:w="80" w:type="dxa"/>
              <w:bottom w:w="80" w:type="dxa"/>
              <w:left w:w="100" w:type="dxa"/>
              <w:right w:w="100" w:type="dxa"/>
            </w:tcMar>
          </w:tcPr>
          <w:p>
            <w:r>
              <w:rPr>
                <w:b/>
              </w:rPr>
              <w:t>Chunks Retrieved:</w:t>
              <w:br/>
              <w:t>23 / 35 max</w:t>
            </w:r>
          </w:p>
        </w:tc>
        <w:tc>
          <w:tcPr>
            <w:tcW w:type="dxa" w:w="2484"/>
            <w:shd w:fill="F7FAFC"/>
            <w:tcMar>
              <w:top w:w="80" w:type="dxa"/>
              <w:bottom w:w="80" w:type="dxa"/>
              <w:left w:w="100" w:type="dxa"/>
              <w:right w:w="100" w:type="dxa"/>
            </w:tcMar>
          </w:tcPr>
          <w:p>
            <w:r>
              <w:rPr>
                <w:b/>
              </w:rPr>
              <w:t>Statutory Quota:</w:t>
              <w:br/>
              <w:t>5 Leg. Chunks</w:t>
            </w:r>
          </w:p>
        </w:tc>
        <w:tc>
          <w:tcPr>
            <w:tcW w:type="dxa" w:w="2484"/>
            <w:shd w:fill="F7FAFC"/>
            <w:tcMar>
              <w:top w:w="80" w:type="dxa"/>
              <w:bottom w:w="80" w:type="dxa"/>
              <w:left w:w="100" w:type="dxa"/>
              <w:right w:w="100" w:type="dxa"/>
            </w:tcMar>
          </w:tcPr>
          <w:p>
            <w:r>
              <w:rPr>
                <w:b/>
              </w:rPr>
              <w:t>UI Citations Parity:</w:t>
              <w:br/>
              <w:t>23 Cards</w:t>
            </w:r>
          </w:p>
        </w:tc>
        <w:tc>
          <w:tcPr>
            <w:tcW w:type="dxa" w:w="2484"/>
            <w:shd w:fill="F7FAFC"/>
            <w:tcMar>
              <w:top w:w="80" w:type="dxa"/>
              <w:bottom w:w="80" w:type="dxa"/>
              <w:left w:w="100" w:type="dxa"/>
              <w:right w:w="100" w:type="dxa"/>
            </w:tcMar>
          </w:tcPr>
          <w:p>
            <w:r>
              <w:rPr>
                <w:b/>
              </w:rPr>
              <w:t>Response Time:</w:t>
              <w:br/>
              <w:t>60.21 seconds</w:t>
            </w:r>
          </w:p>
        </w:tc>
      </w:tr>
    </w:tbl>
    <w:p>
      <w:pPr>
        <w:spacing w:after="120"/>
      </w:pPr>
    </w:p>
    <w:p>
      <w:pPr>
        <w:spacing w:before="80" w:after="40"/>
      </w:pPr>
      <w:r>
        <w:rPr>
          <w:b/>
          <w:color w:val="2B6CB0"/>
        </w:rPr>
        <w:t>Top Retrieved Sources:</w:t>
      </w:r>
    </w:p>
    <w:p>
      <w:pPr>
        <w:pStyle w:val="ListBullet"/>
        <w:spacing w:before="0" w:after="40"/>
      </w:pPr>
      <w:r>
        <w:rPr>
          <w:sz w:val="19"/>
        </w:rPr>
        <w:t>[Source 1] Legislation: Indian Contract Act 1872 (Sec/Ref: N/A)</w:t>
      </w:r>
    </w:p>
    <w:p>
      <w:pPr>
        <w:pStyle w:val="ListBullet"/>
        <w:spacing w:before="0" w:after="40"/>
      </w:pPr>
      <w:r>
        <w:rPr>
          <w:sz w:val="19"/>
        </w:rPr>
        <w:t>[Source 2] Legislation: Arbitration and Conciliation Act 1996 (Sec/Ref: N/A)</w:t>
      </w:r>
    </w:p>
    <w:p>
      <w:pPr>
        <w:pStyle w:val="ListBullet"/>
        <w:spacing w:before="0" w:after="40"/>
      </w:pPr>
      <w:r>
        <w:rPr>
          <w:sz w:val="19"/>
        </w:rPr>
        <w:t>[Source 3] Legislation: Employees` State Insurance Act 1948 (Sec/Ref: N/A)</w:t>
      </w:r>
    </w:p>
    <w:p>
      <w:pPr>
        <w:pStyle w:val="ListBullet"/>
        <w:spacing w:before="0" w:after="40"/>
      </w:pPr>
      <w:r>
        <w:rPr>
          <w:sz w:val="19"/>
        </w:rPr>
        <w:t>[Source 4] Legislation: Indian Contract Act 1872 (Sec/Ref: N/A)</w:t>
      </w:r>
    </w:p>
    <w:p>
      <w:pPr>
        <w:pStyle w:val="ListBullet"/>
        <w:spacing w:before="0" w:after="40"/>
      </w:pPr>
      <w:r>
        <w:rPr>
          <w:sz w:val="19"/>
        </w:rPr>
        <w:t>[Source 5] Legislation: Air (Prevention and Control of Pollution) Act 1981 (Sec/Ref: N/A)</w:t>
      </w:r>
    </w:p>
    <w:p>
      <w:pPr>
        <w:spacing w:after="80"/>
      </w:pPr>
      <w:r>
        <w:rPr>
          <w:i/>
          <w:sz w:val="19"/>
        </w:rPr>
        <w:t>...and 18 additional reranked sources.</w:t>
      </w:r>
    </w:p>
    <w:p>
      <w:pPr>
        <w:spacing w:before="160" w:after="80"/>
      </w:pPr>
      <w:r>
        <w:rPr>
          <w:b/>
          <w:color w:val="0A2540"/>
        </w:rPr>
        <w:t>System Response (Generated Legal Memo Answer):</w:t>
      </w:r>
    </w:p>
    <w:tbl>
      <w:tblPr>
        <w:tblW w:type="auto" w:w="0"/>
        <w:jc w:val="center"/>
        <w:tblLayout w:type="fixed"/>
        <w:tblLook w:firstColumn="1" w:firstRow="1" w:lastColumn="0" w:lastRow="0" w:noHBand="0" w:noVBand="1" w:val="04A0"/>
      </w:tblPr>
      <w:tblGrid>
        <w:gridCol w:w="9936"/>
      </w:tblGrid>
      <w:tr>
        <w:tc>
          <w:tcPr>
            <w:tcW w:type="dxa" w:w="9792"/>
            <w:shd w:fill="FAFAFA"/>
            <w:tcMar>
              <w:top w:w="120" w:type="dxa"/>
              <w:bottom w:w="120" w:type="dxa"/>
              <w:left w:w="150" w:type="dxa"/>
              <w:right w:w="150" w:type="dxa"/>
            </w:tcMar>
          </w:tcPr>
          <w:p>
            <w:pPr>
              <w:spacing w:before="0" w:after="0"/>
            </w:pPr>
            <w:r>
              <w:rPr>
                <w:color w:val="2D3748"/>
                <w:sz w:val="20"/>
              </w:rPr>
              <w:t>Under Section 68 of the Companies Act, 2013, an unlisted company proposing a buy-back of its own shares must pass a **special resolution** at a general meeting of the company, provided the buy-back is authorised by its articles of association [Source 8]. However, a board resolution suffices where the buy-back is ten per cent or less of the total paid-up equity capital and free reserves of the company [Source 8]. The board of directors is empowered to authorise a buy-back of securities under Section 68 by means of a resolution passed at a board meeting [Source 5].</w:t>
              <w:br/>
              <w:br/>
              <w:t>**Statutory Framework and Conditions**</w:t>
              <w:br/>
              <w:br/>
              <w:t>The buy-back under Section 68 is subject to several statutory conditions that could operate as legal barriers. The buy-back must be authorised by the company's articles, and a special resolution must be passed at a general meeting unless the buy-back falls within the ten per cent threshold noted above [Source 8]. The buy-back is limited to twenty-five per cent or less of the aggregate of paid-up capital and free reserves, with the proviso that for equity shares in any financial year, the reference to twenty-five per cent is construed with respect to the total paid-up equity capital in that financial year [Source 8]. Additionally, the ratio of aggregate secured and unsecured debts after the buy-back must not exceed twice the paid-up capital and free reserves, unless the Central Government notifies a higher ratio [Source 8]. All shares proposed for buy-back must be fully paid-up [Source 8].</w:t>
              <w:br/>
              <w:br/>
              <w:t>For an unlisted company, the procedural requirements include filing a declaration of solvency signed by at least two directors, one of whom shall be the managing director if any, before making the buy-back [Source 7]. Notably, no declaration of solvency is required to be filed with the Securities and Exchange Board by a company whose shares are not listed on any recognised stock exchange [Source 7]. Similarly, no return is required to be filed with SEBI by an unlisted company, though a return must be filed with the Registrar of Companies within thirty days of completion [Source 9]. The shares bought back must be extinguished and physically destroyed within seven days of the last date of completion of the buy-back [Source 7].</w:t>
              <w:br/>
              <w:br/>
              <w:t>**Resolution Requirements and Disclosures**</w:t>
              <w:br/>
              <w:br/>
              <w:t>Where a special resolution is required, the explanatory statement annexed to the notice for the general meeting pursuant to Section 102 of the Companies Act must contain mandatory disclosures, including a full and complete disclosure of all material facts, the necessity for the buy-back, the class of shares intended to be purchased, the amount to be invested, and the time-limit for completion [Source 4]. A company authorised by a board resolution to buy back its shares under the proviso to clause (b) of sub-section (2) of Section 68 must file a copy of the resolution with the Board and the stock exchanges within two working days of its passing [Source 1]. For an unlisted company, the procedure contemplates both a special resolution for alteration of articles to include the power to purchase its own shares and a board resolution for the buy-back itself [Source 6].</w:t>
              <w:br/>
              <w:br/>
              <w:t>**Potential Legal Barriers**</w:t>
              <w:br/>
              <w:br/>
              <w:t>Several provisions could block or restrict a buy-back. Section 66, dealing with reduction of share capital, expressly provides that nothing in that section applies to buy-back of its own securities by a company under Section 68 [Source 2, 21]. A buy-back under Section 68 is optional, and it is for the shareholder to decide whether to accept the buy-back based on the value offered [Source 13]. The Delhi High Court has held that a buy-back of its own shares by a company in accordance with Section 68 is a reduction of its capital and cannot be taxed for deemed profit [Source 7, 8]. Further, a company that completes a buy-back cannot make a further issue of the same kind of shares or securities within six months, except by way of a bonus issue or in discharge of subsisting obligations such as conversion of warrants, stock option schemes, sweat equity, or conversion of preference shares or debentures into equity shares [Source 9].</w:t>
              <w:br/>
              <w:br/>
              <w:t>The obligation to complete a buy-back is fastened only upon a public announcement, which constitutes an offer at large that cannot be withdrawn; until such announcement, the passing of a resolution does not give rise to an actionable claim in favour of shareholders [Source 10, 12]. The Bombay High Court in Dattaraj V. Salgaocar v. State of Maharashtra held that it is necessary to demonstrate that there was an offer or public announcement of buy-back before penal provisions under sub-section (11) of Section 68 could be attracted [Source 10]. Additionally, no compromise or arrangement in respect of any buy-back of securities can be sanctioned by the Tribunal unless such buy-back is in accordance with the provisions of Section 68 [Source 19].</w:t>
              <w:br/>
              <w:br/>
              <w:t>The NCLT, however, has the power to order a buy-back in a petition under Section 241 against oppression and mismanagement, and in such cases the provisions of Section 68 and the rules and regulations thereunder do not apply, as the NCLT may relax or forgo those provisions by exercising its powers under Section 242 [Source 16, 23]. This power is exercisable regardless of the prohibition on a company purchasing its own shares under Section 67 and without compliance with Section 68 [Source 16].</w:t>
              <w:br/>
              <w:br/>
              <w:t>In summary, an unlisted company must pass a special resolution for a buy-back under Section 68 unless the buy-back is ten per cent or less of paid-up equity capital and free reserves, in which case a board resolution suffices. The buy-back is subject to statutory limits on quantum, debt ratio, and fully paid-up shares, and procedural requirements including solvency declaration and extinguishment of shares, with the obligation to complete arising only upon a public announcement.</w:t>
            </w:r>
          </w:p>
        </w:tc>
      </w:tr>
    </w:tbl>
    <w:p>
      <w:pPr>
        <w:spacing w:after="120"/>
      </w:pPr>
    </w:p>
    <w:p>
      <w:pPr>
        <w:spacing w:before="80" w:after="40"/>
      </w:pPr>
      <w:r>
        <w:rPr>
          <w:b/>
          <w:color w:val="2B6CB0"/>
        </w:rPr>
        <w:t>Generated Follow-Up Research Questions:</w:t>
      </w:r>
    </w:p>
    <w:p>
      <w:pPr>
        <w:pStyle w:val="ListBullet"/>
        <w:spacing w:before="0" w:after="40"/>
      </w:pPr>
      <w:r>
        <w:rPr>
          <w:sz w:val="20"/>
        </w:rPr>
        <w:t>What are the penalties for non-compliance with Section 68 of the Companies Act, 2013?</w:t>
      </w:r>
    </w:p>
    <w:p>
      <w:pPr>
        <w:pStyle w:val="ListBullet"/>
        <w:spacing w:before="0" w:after="40"/>
      </w:pPr>
      <w:r>
        <w:rPr>
          <w:sz w:val="20"/>
        </w:rPr>
        <w:t>Can an unlisted company buy back shares through the open market route?</w:t>
      </w:r>
    </w:p>
    <w:p>
      <w:pPr>
        <w:pStyle w:val="ListBullet"/>
        <w:spacing w:before="0" w:after="40"/>
      </w:pPr>
      <w:r>
        <w:rPr>
          <w:sz w:val="20"/>
        </w:rPr>
        <w:t>What is the time limit for completing a buy-back under Section 68?</w:t>
      </w:r>
    </w:p>
    <w:p>
      <w:pPr>
        <w:spacing w:after="280"/>
      </w:pPr>
    </w:p>
    <w:p>
      <w:pPr>
        <w:keepNext/>
        <w:spacing w:before="280" w:after="80"/>
      </w:pPr>
      <w:r>
        <w:rPr>
          <w:rFonts w:ascii="Calibri" w:hAnsi="Calibri"/>
          <w:b/>
          <w:color w:val="2B6CB0"/>
          <w:sz w:val="28"/>
        </w:rPr>
        <w:t>Test Case 5: [CQ-20] The company announced a stock split and there was some trading just before it. Is a stock split even UPSI for insider-trading purposes?</w:t>
      </w:r>
    </w:p>
    <w:p>
      <w:pPr>
        <w:spacing w:after="80"/>
      </w:pPr>
      <w:r>
        <w:rPr>
          <w:b/>
        </w:rPr>
        <w:t xml:space="preserve">Research Intent: </w:t>
      </w:r>
      <w:r>
        <w:t>Evaluate RAG accuracy, statutory grounding, citation parity, and chunk quota compliance for CQ-20.</w:t>
      </w:r>
    </w:p>
    <w:tbl>
      <w:tblPr>
        <w:tblW w:type="auto" w:w="0"/>
        <w:jc w:val="center"/>
        <w:tblLook w:firstColumn="1" w:firstRow="1" w:lastColumn="0" w:lastRow="0" w:noHBand="0" w:noVBand="1" w:val="04A0"/>
      </w:tblPr>
      <w:tblGrid>
        <w:gridCol w:w="2484"/>
        <w:gridCol w:w="2484"/>
        <w:gridCol w:w="2484"/>
        <w:gridCol w:w="2484"/>
      </w:tblGrid>
      <w:tr>
        <w:tc>
          <w:tcPr>
            <w:tcW w:type="dxa" w:w="2484"/>
            <w:shd w:fill="F7FAFC"/>
            <w:tcMar>
              <w:top w:w="80" w:type="dxa"/>
              <w:bottom w:w="80" w:type="dxa"/>
              <w:left w:w="100" w:type="dxa"/>
              <w:right w:w="100" w:type="dxa"/>
            </w:tcMar>
          </w:tcPr>
          <w:p>
            <w:r>
              <w:rPr>
                <w:b/>
              </w:rPr>
              <w:t>Chunks Retrieved:</w:t>
              <w:br/>
              <w:t>9 / 35 max</w:t>
            </w:r>
          </w:p>
        </w:tc>
        <w:tc>
          <w:tcPr>
            <w:tcW w:type="dxa" w:w="2484"/>
            <w:shd w:fill="F7FAFC"/>
            <w:tcMar>
              <w:top w:w="80" w:type="dxa"/>
              <w:bottom w:w="80" w:type="dxa"/>
              <w:left w:w="100" w:type="dxa"/>
              <w:right w:w="100" w:type="dxa"/>
            </w:tcMar>
          </w:tcPr>
          <w:p>
            <w:r>
              <w:rPr>
                <w:b/>
              </w:rPr>
              <w:t>Statutory Quota:</w:t>
              <w:br/>
              <w:t>5 Leg. Chunks</w:t>
            </w:r>
          </w:p>
        </w:tc>
        <w:tc>
          <w:tcPr>
            <w:tcW w:type="dxa" w:w="2484"/>
            <w:shd w:fill="F7FAFC"/>
            <w:tcMar>
              <w:top w:w="80" w:type="dxa"/>
              <w:bottom w:w="80" w:type="dxa"/>
              <w:left w:w="100" w:type="dxa"/>
              <w:right w:w="100" w:type="dxa"/>
            </w:tcMar>
          </w:tcPr>
          <w:p>
            <w:r>
              <w:rPr>
                <w:b/>
              </w:rPr>
              <w:t>UI Citations Parity:</w:t>
              <w:br/>
              <w:t>9 Cards</w:t>
            </w:r>
          </w:p>
        </w:tc>
        <w:tc>
          <w:tcPr>
            <w:tcW w:type="dxa" w:w="2484"/>
            <w:shd w:fill="F7FAFC"/>
            <w:tcMar>
              <w:top w:w="80" w:type="dxa"/>
              <w:bottom w:w="80" w:type="dxa"/>
              <w:left w:w="100" w:type="dxa"/>
              <w:right w:w="100" w:type="dxa"/>
            </w:tcMar>
          </w:tcPr>
          <w:p>
            <w:r>
              <w:rPr>
                <w:b/>
              </w:rPr>
              <w:t>Response Time:</w:t>
              <w:br/>
              <w:t>33.50 seconds</w:t>
            </w:r>
          </w:p>
        </w:tc>
      </w:tr>
    </w:tbl>
    <w:p>
      <w:pPr>
        <w:spacing w:after="120"/>
      </w:pPr>
    </w:p>
    <w:p>
      <w:pPr>
        <w:spacing w:before="80" w:after="40"/>
      </w:pPr>
      <w:r>
        <w:rPr>
          <w:b/>
          <w:color w:val="2B6CB0"/>
        </w:rPr>
        <w:t>Top Retrieved Sources:</w:t>
      </w:r>
    </w:p>
    <w:p>
      <w:pPr>
        <w:pStyle w:val="ListBullet"/>
        <w:spacing w:before="0" w:after="40"/>
      </w:pPr>
      <w:r>
        <w:rPr>
          <w:sz w:val="19"/>
        </w:rPr>
        <w:t>[Source 1] Legislation: Chartered Accountants Act 1949 (Sec/Ref: N/A)</w:t>
      </w:r>
    </w:p>
    <w:p>
      <w:pPr>
        <w:pStyle w:val="ListBullet"/>
        <w:spacing w:before="0" w:after="40"/>
      </w:pPr>
      <w:r>
        <w:rPr>
          <w:sz w:val="19"/>
        </w:rPr>
        <w:t>[Source 2] Legislation: Guidelines for Valuation of Equity Shares (1990) (Sec/Ref: N/A)</w:t>
      </w:r>
    </w:p>
    <w:p>
      <w:pPr>
        <w:pStyle w:val="ListBullet"/>
        <w:spacing w:before="0" w:after="40"/>
      </w:pPr>
      <w:r>
        <w:rPr>
          <w:sz w:val="19"/>
        </w:rPr>
        <w:t>[Source 3] Legislation: Chartered Accountants Act 1949 (Sec/Ref: N/A)</w:t>
      </w:r>
    </w:p>
    <w:p>
      <w:pPr>
        <w:pStyle w:val="ListBullet"/>
        <w:spacing w:before="0" w:after="40"/>
      </w:pPr>
      <w:r>
        <w:rPr>
          <w:sz w:val="19"/>
        </w:rPr>
        <w:t>[Source 4] Legislation: Chartered Accountants Act 1949 (Sec/Ref: N/A)</w:t>
      </w:r>
    </w:p>
    <w:p>
      <w:pPr>
        <w:pStyle w:val="ListBullet"/>
        <w:spacing w:before="0" w:after="40"/>
      </w:pPr>
      <w:r>
        <w:rPr>
          <w:sz w:val="19"/>
        </w:rPr>
        <w:t>[Source 5] Legislation: Arbitration and Conciliation Act 1996 (Sec/Ref: N/A)</w:t>
      </w:r>
    </w:p>
    <w:p>
      <w:pPr>
        <w:spacing w:after="80"/>
      </w:pPr>
      <w:r>
        <w:rPr>
          <w:i/>
          <w:sz w:val="19"/>
        </w:rPr>
        <w:t>...and 4 additional reranked sources.</w:t>
      </w:r>
    </w:p>
    <w:p>
      <w:pPr>
        <w:spacing w:before="160" w:after="80"/>
      </w:pPr>
      <w:r>
        <w:rPr>
          <w:b/>
          <w:color w:val="0A2540"/>
        </w:rPr>
        <w:t>System Response (Generated Legal Memo Answer):</w:t>
      </w:r>
    </w:p>
    <w:tbl>
      <w:tblPr>
        <w:tblW w:type="auto" w:w="0"/>
        <w:jc w:val="center"/>
        <w:tblLayout w:type="fixed"/>
        <w:tblLook w:firstColumn="1" w:firstRow="1" w:lastColumn="0" w:lastRow="0" w:noHBand="0" w:noVBand="1" w:val="04A0"/>
      </w:tblPr>
      <w:tblGrid>
        <w:gridCol w:w="9936"/>
      </w:tblGrid>
      <w:tr>
        <w:tc>
          <w:tcPr>
            <w:tcW w:type="dxa" w:w="9792"/>
            <w:shd w:fill="FAFAFA"/>
            <w:tcMar>
              <w:top w:w="120" w:type="dxa"/>
              <w:bottom w:w="120" w:type="dxa"/>
              <w:left w:w="150" w:type="dxa"/>
              <w:right w:w="150" w:type="dxa"/>
            </w:tcMar>
          </w:tcPr>
          <w:p>
            <w:pPr>
              <w:spacing w:before="0" w:after="0"/>
            </w:pPr>
            <w:r>
              <w:rPr>
                <w:color w:val="2D3748"/>
                <w:sz w:val="20"/>
              </w:rPr>
              <w:t>A stock split is indeed capable of being treated as Unpublished Price Sensitive Information (UPSI) for insider-trading purposes. The Securities Appellate Tribunal (SAT) has expressly held that splitting of stock per se is price sensitive information, since it is an important decision intended to improve the liquidity of stock and its affordability, which is likely to make an impact on price [Source 6, 7].</w:t>
              <w:br/>
              <w:br/>
              <w:t>**The Reasoning Behind Treating Stock Split as UPSI**</w:t>
              <w:br/>
              <w:br/>
              <w:t>The SAT's reasoning in *Affluence Fincon Service (P.) Ltd. &amp; Others v. SEBI* ([2025] 184 CLA 45 (SAT)) is instructive. Splitting of shares results in shares of smaller face value, which makes the shares affordable, and thereby allows new sets of shareholders to come into picture with the resulting impact on demand and liquidity, that is likely to influence the price trends [Source 6, 7]. Moreover, instances of stock split show that it resulted in price rise on the day of split, compared to the previous day [Source 6, 7].</w:t>
              <w:br/>
              <w:br/>
              <w:t>**The Test is Likelihood, Not Actual Price Impact**</w:t>
              <w:br/>
              <w:br/>
              <w:t>A crucial point is that an insignificant price rise upon disclosure of the information compared to the previous trading day is not relevant. It is the likelihood of materially affecting the price of the securities, which is the main factor to determine price sensitivity of information, and not actual price rise [Source 6, 7]. As per the definition of UPSI under regulation 2(1)(n) of the SEBI (Prohibition of Insider Trading) Regulations, 2015, it is the likelihood of information which may materially affect the price of the securities, and not the actual impact caused by it, which makes it price sensitive information [Source 7, 8].</w:t>
              <w:br/>
              <w:br/>
              <w:t>**When the UPSI Period Commences**</w:t>
              <w:br/>
              <w:br/>
              <w:t>The SAT also clarified when the UPSI period begins. In the *Affluence Fincon* case, a meeting held on 22nd November, 2016 was in the nature of a general briefing on the concept of stock split, without any specific reference to securities. Hence, it could not be held that the UPSI period started from that date. However, since a later discussion on 20th March, 2017 was specifically with regard to the stock split for the company, it was construed that the UPSI period started from that date [Source 6, 7]. This distinction is important — a general conceptual discussion does not create UPSI, but a specific decision or discussion relating to the company's own stock split does.</w:t>
              <w:br/>
              <w:br/>
              <w:t>**The Bottom Line**</w:t>
              <w:br/>
              <w:br/>
              <w:t>A stock split is UPSI for insider-trading purposes because it is likely to materially affect the price of securities, regardless of whether the actual price movement turns out to be significant. Trading while in possession of such unpublished information, before it is made public, can attract liability under the insider-trading regulations.</w:t>
            </w:r>
          </w:p>
        </w:tc>
      </w:tr>
    </w:tbl>
    <w:p>
      <w:pPr>
        <w:spacing w:after="120"/>
      </w:pPr>
    </w:p>
    <w:p>
      <w:pPr>
        <w:spacing w:before="80" w:after="40"/>
      </w:pPr>
      <w:r>
        <w:rPr>
          <w:b/>
          <w:color w:val="2B6CB0"/>
        </w:rPr>
        <w:t>Generated Follow-Up Research Questions:</w:t>
      </w:r>
    </w:p>
    <w:p>
      <w:pPr>
        <w:pStyle w:val="ListBullet"/>
        <w:spacing w:before="0" w:after="40"/>
      </w:pPr>
      <w:r>
        <w:rPr>
          <w:sz w:val="20"/>
        </w:rPr>
        <w:t>What constitutes "access to" or "possession of" UPSI under the PIT Regulations?</w:t>
      </w:r>
    </w:p>
    <w:p>
      <w:pPr>
        <w:pStyle w:val="ListBullet"/>
        <w:spacing w:before="0" w:after="40"/>
      </w:pPr>
      <w:r>
        <w:rPr>
          <w:sz w:val="20"/>
        </w:rPr>
        <w:t>What is the penalty for insider trading under the SEBI (Prohibition of Insider Trading) Regulations, 2015?</w:t>
      </w:r>
    </w:p>
    <w:p>
      <w:pPr>
        <w:pStyle w:val="ListBullet"/>
        <w:spacing w:before="0" w:after="40"/>
      </w:pPr>
      <w:r>
        <w:rPr>
          <w:sz w:val="20"/>
        </w:rPr>
        <w:t>When does the trading window close and reopen around a stock split announcement?</w:t>
      </w:r>
    </w:p>
    <w:p>
      <w:pPr>
        <w:spacing w:after="2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