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CLA Legal Research — Base Ontology</w:t>
      </w:r>
    </w:p>
    <w:p w:rsidR="00000000" w:rsidDel="00000000" w:rsidP="00000000" w:rsidRDefault="00000000" w:rsidRPr="00000000" w14:paraId="00000002">
      <w:pPr>
        <w:pStyle w:val="Heading1"/>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to read this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block per type of document. For each: what it is, how it is internally structured, how it links to and is read alongside other documents, how much authority it carries, and how we know if it is current. Rules that apply to every document are collected under “Universal reading rules.”</w:t>
      </w:r>
    </w:p>
    <w:p w:rsidR="00000000" w:rsidDel="00000000" w:rsidP="00000000" w:rsidRDefault="00000000" w:rsidRPr="00000000" w14:paraId="00000004">
      <w:pPr>
        <w:pStyle w:val="Heading2"/>
        <w:numPr>
          <w:ilvl w:val="0"/>
          <w:numId w:val="1"/>
        </w:numPr>
        <w:ind w:left="72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Statute (and its Provisions)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What it is: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primary law passed by the legislature. Its atomic unit is a Provision (a section) — the hub everything else attaches to. A statute may be general (covers a broad field) or special (covers a specific subject).</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Internal structure — a section may carry: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Commencement date — the date it comes into force. Some sections are brought into force separately by a notification (follow the reference).</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Definitions — terms defined for use in the statute. A defined term must always be read with its statutory definition, never its ordinary meaning, wherever it appears in that statute’s context.</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“As prescribed” / “as may be notified” — a section may leave detail to subordinate law. “Prescribed” points to the Rules made under it; “notified” points to a Notification. Follow the reference.</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References to notifications — a section may refer to a specific notification; follow it to the Notifications set.</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Schedules — the Act has Schedules listing categories it applies to, or additional factual detail. When a section brings a matter within a Schedule, the section text says so — read the Schedule with the section.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Precedence &amp; interpretation clauses to flag (usually in the opening or the end sections):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General vs special statute — a special law prevails over a general law on the same subject. Acts usually state how an inconsistency is resolved, typically in the end sections (overriding, repeal and savings). Flag whether the statute is general or special, and its stated prevalence rule.</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Overriding effect (“notwithstanding” / non obstante) — the provision prevails over other laws or provisions.</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“Subject to” — the provision yields to another provision or law.</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Savings, repeal &amp; transitional clauses — what survives when a law is repealed, and how pending matters are treated.</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Grandfathering — a clause that preserves existing rights, arrangements or entities from a new or amended rule (“existing X shall continue under the earlier provisions”). Flag what is protected, and until when.</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Extent &amp; application — the territory the Act covers and the persons it applies to.</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Deeming provisions &amp; Explanations — legal fictions (“shall be deemed to be”) and Explanations attached to a section that modify its meaning.</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Mandatory vs directory language — “shall” (compulsory) vs “may” (discretionary).</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Liability &amp; enforcement clauses: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Offences by company / officer-in-default — who bears liability (the company, its directors, the officer-in-default, key managerial personnel) when a company commits an offence. Central to understanding director / officer liability.</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Penalty / punishment — the consequence for breach (fine, imprisonment).</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Compounding of offences — whether an offence can be settled/compounded.</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Prosecution, cognizance &amp; forum — who may prosecute, which court or special court, and any bar on civil-court jurisdiction.</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Limitation — the time limit to act or sue.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Relationships &amp; reading rules: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Statute contains its Provisions;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i w:val="0"/>
          <w:iCs w:val="0"/>
          <w:smallCaps w:val="0"/>
          <w:strike w:val="0"/>
          <w:color w:val="000000"/>
          <w:u w:val="none"/>
          <w:shd w:fill="auto" w:val="clear"/>
          <w:vertAlign w:val="baseline"/>
        </w:rPr>
      </w:pPr>
      <w:sdt>
        <w:sdtPr>
          <w:id w:val="1746744349"/>
          <w:tag w:val="goog_rdk_0"/>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a Provision may contain sub-provisions; prescribed-by → Rules; notified-by → Notification; defines → Term; </w:t>
          </w:r>
        </w:sdtContent>
      </w:sdt>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i w:val="0"/>
          <w:iCs w:val="0"/>
          <w:smallCaps w:val="0"/>
          <w:strike w:val="0"/>
          <w:color w:val="000000"/>
          <w:u w:val="none"/>
          <w:shd w:fill="auto" w:val="clear"/>
          <w:vertAlign w:val="baseline"/>
        </w:rPr>
      </w:pPr>
      <w:sdt>
        <w:sdtPr>
          <w:id w:val="-937357152"/>
          <w:tag w:val="goog_rdk_1"/>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refers-to → Provision/Schedule; overrides / subject-to → Provision. </w:t>
          </w:r>
        </w:sdtContent>
      </w:sdt>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statute is classified general or special (special prevails on its subject). An offence provision assigns liability to the company and its officer-in-default. A section is never read in isolation — read it with its definitions, rules and notifications, any schedule it invokes, any overriding/precedence clause, and any offence/penalty provision.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Authority: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highest. Overrides everything below — no rule, circular or judgment can contradict the bare provision. Between statutes, a special statute prevails over a general one on the specific subject.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Currency: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the current text shown is the law. Amendments are recorded as a footnote in the document itself (what it was before, and from when). We rely on that footnote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Text type: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verbatim primary law.</w:t>
      </w:r>
    </w:p>
    <w:p w:rsidR="00000000" w:rsidDel="00000000" w:rsidP="00000000" w:rsidRDefault="00000000" w:rsidRPr="00000000" w14:paraId="00000022">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Subordinate legislation (Rules / Regulations)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What it is: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rules or regulations made under a specific section of a statute, filling in the detail the statute authorises.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Internal structure: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structured like a statute — made under a particular section, with its own definitions, commencement dates, cross-references and schedules. Apply the same reading rules and flag the same precedence/liability clauses where present.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Relationships &amp; reading rules: </w:t>
      </w:r>
      <w:sdt>
        <w:sdtPr>
          <w:id w:val="-1894020091"/>
          <w:tag w:val="goog_rdk_2"/>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made-under → the enabling Provision (section) of the statute; otherwise the same links and reading rules as a statute.</w:t>
          </w:r>
        </w:sdtContent>
      </w:sdt>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Authority: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below the parent statute; valid only within the power the statute grants; cannot override it.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Currency: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amended like statutes; the latest version governs.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Text type: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verbatim primary (delegated) law.</w:t>
      </w:r>
    </w:p>
    <w:p w:rsidR="00000000" w:rsidDel="00000000" w:rsidP="00000000" w:rsidRDefault="00000000" w:rsidRPr="00000000" w14:paraId="00000029">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Notification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What it is: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an order issued under a statute (or sometimes under a rule) — e.g. bringing a section into force, granting an exemption, or amending a rule.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Internal structure: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states its content directly; carries a date on which it comes into force; may contain defined terms — where it does, use them strictly.</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Relationships &amp; reading rules: </w:t>
      </w:r>
      <w:sdt>
        <w:sdtPr>
          <w:id w:val="28114572"/>
          <w:tag w:val="goog_rdk_3"/>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issued-under → Provision/Rule; </w:t>
          </w:r>
        </w:sdtContent>
      </w:sdt>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i w:val="0"/>
          <w:iCs w:val="0"/>
          <w:smallCaps w:val="0"/>
          <w:strike w:val="0"/>
          <w:color w:val="000000"/>
          <w:u w:val="none"/>
          <w:shd w:fill="auto" w:val="clear"/>
          <w:vertAlign w:val="baseline"/>
        </w:rPr>
      </w:pPr>
      <w:sdt>
        <w:sdtPr>
          <w:id w:val="-1248063512"/>
          <w:tag w:val="goog_rdk_4"/>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issued-by → Regulator; </w:t>
          </w:r>
        </w:sdtContent>
      </w:sdt>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i w:val="0"/>
          <w:iCs w:val="0"/>
          <w:smallCaps w:val="0"/>
          <w:strike w:val="0"/>
          <w:color w:val="000000"/>
          <w:u w:val="none"/>
          <w:shd w:fill="auto" w:val="clear"/>
          <w:vertAlign w:val="baseline"/>
        </w:rPr>
      </w:pPr>
      <w:sdt>
        <w:sdtPr>
          <w:id w:val="101192597"/>
          <w:tag w:val="goog_rdk_5"/>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may notify-commencement-of or amend → Provision. Respect its coming-into-force date.</w:t>
          </w:r>
        </w:sdtContent>
      </w:sdt>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Authority: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has statutory force where the statute allows, but sits below the statute and rules.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Currency: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later notification supersedes an earlier one — the later governs. Supersession is stated in the prose; extract it from the text, else fall back to latest-by-date.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Text type: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verbatim regulatory instrument.</w:t>
      </w:r>
    </w:p>
    <w:p w:rsidR="00000000" w:rsidDel="00000000" w:rsidP="00000000" w:rsidRDefault="00000000" w:rsidRPr="00000000" w14:paraId="00000032">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Circular / Guideline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What it is: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regulator’s clarification or instruction on how it will administer the law.</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Internal structure: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states its content directly; carries a date of effect; may contain defined terms — use them strictly.</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Relationships &amp; reading rules: </w:t>
      </w:r>
      <w:sdt>
        <w:sdtPr>
          <w:id w:val="-1785092467"/>
          <w:tag w:val="goog_rdk_6"/>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issued-under → Provision/Rule; issued-by → Regulator. Respect its date of effect.</w:t>
          </w:r>
        </w:sdtContent>
      </w:sdt>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Authority: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binding on the entities that regulator governs, but the weakest law-making instrument — cannot override a statute, rule or notification, and a court can set it aside.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Currency: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later circular supersedes an earlier one (a master circular often replaces many); the latest governs. Stated in prose; extract, else latest-by-date.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Text type: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verbatim regulatory instrument.</w:t>
      </w:r>
    </w:p>
    <w:p w:rsidR="00000000" w:rsidDel="00000000" w:rsidP="00000000" w:rsidRDefault="00000000" w:rsidRPr="00000000" w14:paraId="00000039">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Judicial decision (Case)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What it is: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judgment of a court or tribunal. Judges are the interpreters of law — a judgment interprets a statute, rule, regulation or guideline; it does not make law.</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Internal structure — a judgment usually runs in an order: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HeadNote — the editorial summary of the holding.</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Facts — the opening paragraphs.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Arguments — the submissions of both sides.</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Judgment / decision — the ruling, at the end.</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Reading rules: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sdt>
        <w:sdtPr>
          <w:id w:val="586991199"/>
          <w:tag w:val="goog_rdk_7"/>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Follow the full reasoning circle — facts → arguments → decision. Never lift a fragment out of that arc.</w:t>
          </w:r>
        </w:sdtContent>
      </w:sdt>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Keep the HeadNote attached to every part/chunk of the judgment.</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Context-specific use — the same judgment can be cited for several different laws. Identify the law and context in which it is being invoked and use only that context.</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Similar judgments on the same point may or may not be cited. Treat the cited precedents as the explicit chain, but be aware uncited parallels can exist.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Relationships: </w:t>
      </w:r>
      <w:sdt>
        <w:sdtPr>
          <w:id w:val="-107442776"/>
          <w:tag w:val="goog_rdk_8"/>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interprets/applies → Provision/Rule/Regulation/Guideline; cites → Case; decided-by → Forum (which sits in a Jurisdiction).</w:t>
          </w:r>
        </w:sdtContent>
      </w:sdt>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Authority: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depends on the Forum (court order below) and on jurisdiction (territorial rule below). Binds how a provision is read, but cannot rewrite the statute.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Currency: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whether a case is still good law or overruled is not recorded in the data and cannot reliably be added — handled at the answer prompt stage, best-effort, not in the ontology.</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Text type: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HeadNote = editorial summary; body = verbatim court text.</w:t>
      </w:r>
    </w:p>
    <w:p w:rsidR="00000000" w:rsidDel="00000000" w:rsidP="00000000" w:rsidRDefault="00000000" w:rsidRPr="00000000" w14:paraId="00000049">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Secondary sources (Commentary, Article, Query)</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What it is: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editorial explanation — commentary on a section, analytical articles, editorial Q&amp;A.</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Internal structure / special rule for commentary: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commentary often discusses a predecessor or related law. For example, commentary on the Companies Act 2013 typically opens with Companies Act 1956 jurisprudence — where a much larger body of cases exists — because several 2013 provisions mirror the 1956 ones, then moves to the 2013 position.</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Reading rule: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when commentary (or any source) relies on a previous or related law, treat that older material as an interpretive, persuasive-value tool and draw the parallel to the current provision. The old jurisprudence informs the current law by analogy; it does not bind.</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Relationships: </w:t>
      </w:r>
      <w:sdt>
        <w:sdtPr>
          <w:id w:val="-1939586473"/>
          <w:tag w:val="goog_rdk_9"/>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explains/analyses → Provision/Concept; </w:t>
          </w:r>
        </w:sdtContent>
      </w:sdt>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i w:val="0"/>
          <w:iCs w:val="0"/>
          <w:smallCaps w:val="0"/>
          <w:strike w:val="0"/>
          <w:color w:val="000000"/>
          <w:u w:val="none"/>
          <w:shd w:fill="auto" w:val="clear"/>
          <w:vertAlign w:val="baseline"/>
        </w:rPr>
      </w:pPr>
      <w:sdt>
        <w:sdtPr>
          <w:id w:val="-279741329"/>
          <w:tag w:val="goog_rdk_10"/>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draws-parallel-from → a predecessor Provision or Case.</w:t>
          </w:r>
        </w:sdtContent>
      </w:sdt>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Authority: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none that binds. An interpretative aid only, always placed after statute, cases and instruments.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Currency: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kept even when the law has changed — flagged that the letter of the law has moved, but cited for the enduring reasoning or principle (jurisprudence), which often survives the amendment.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Text type: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editorial.</w:t>
      </w:r>
    </w:p>
    <w:p w:rsidR="00000000" w:rsidDel="00000000" w:rsidP="00000000" w:rsidRDefault="00000000" w:rsidRPr="00000000" w14:paraId="00000052">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Procedure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What it is: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step-by-step compliance guidance tied to a provision.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Relationships: </w:t>
      </w:r>
      <w:sdt>
        <w:sdtPr>
          <w:id w:val="-1777438945"/>
          <w:tag w:val="goog_rdk_11"/>
        </w:sdtPr>
        <w:sdtContent>
          <w:r w:rsidDel="00000000" w:rsidR="00000000" w:rsidRPr="00000000">
            <w:rPr>
              <w:rFonts w:ascii="Cardo" w:cs="Cardo" w:eastAsia="Cardo" w:hAnsi="Cardo"/>
              <w:i w:val="0"/>
              <w:iCs w:val="0"/>
              <w:smallCaps w:val="0"/>
              <w:strike w:val="0"/>
              <w:color w:val="000000"/>
              <w:u w:val="none"/>
              <w:shd w:fill="auto" w:val="clear"/>
              <w:vertAlign w:val="baseline"/>
              <w:rtl w:val="0"/>
            </w:rPr>
            <w:t xml:space="preserve">operationalises → a Provision.</w:t>
          </w:r>
        </w:sdtContent>
      </w:sdt>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Authority: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practical guidance, not a source of law; treated like editorial.</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Currency: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marked active/inactive; inactive ones are excluded.</w:t>
      </w:r>
    </w:p>
    <w:p w:rsidR="00000000" w:rsidDel="00000000" w:rsidP="00000000" w:rsidRDefault="00000000" w:rsidRPr="00000000" w14:paraId="00000057">
      <w:pPr>
        <w:pStyle w:val="Heading1"/>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Universal reading rules (apply to every document)</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Defined terms. Wherever a term is defined in a legal document, it must be read with that defined meaning — strictly, and only within that instrument’s context. Never substitute the ordinary meaning.</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Cross-reference following. When a provision says “as prescribed,” “as may be notified,” or refers to another section, a schedule or a specific notification, follow the link and read them together. A provision is never read alone.</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Coming-into-force dates. Statutes, rules, notifications and circulars each carry an effective date; respect it.</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Citation identity. Parallel citations of a case refer to one judgment; the court is encoded in the citation. Do not treat one judgment under several citations as several authorities.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rPr>
      </w:pPr>
      <w:sdt>
        <w:sdtPr>
          <w:id w:val="-1046159596"/>
          <w:tag w:val="goog_rdk_12"/>
        </w:sdtPr>
        <w:sdtContent>
          <w:r w:rsidDel="00000000" w:rsidR="00000000" w:rsidRPr="00000000">
            <w:rPr>
              <w:rFonts w:ascii="Gungsuh" w:cs="Gungsuh" w:eastAsia="Gungsuh" w:hAnsi="Gungsuh"/>
              <w:i w:val="0"/>
              <w:iCs w:val="0"/>
              <w:smallCaps w:val="0"/>
              <w:strike w:val="0"/>
              <w:color w:val="000000"/>
              <w:u w:val="none"/>
              <w:shd w:fill="auto" w:val="clear"/>
              <w:vertAlign w:val="baseline"/>
              <w:rtl w:val="0"/>
            </w:rPr>
            <w:t xml:space="preserve">Relationship meanings (case-to-case). Read the relationship, not just the fact of citation: cites ≠ approves; distinguishes = limits the earlier case to its facts; follows = adopts it; affirms / reverses = the appeal outcome.</w:t>
          </w:r>
        </w:sdtContent>
      </w:sdt>
    </w:p>
    <w:p w:rsidR="00000000" w:rsidDel="00000000" w:rsidP="00000000" w:rsidRDefault="00000000" w:rsidRPr="00000000" w14:paraId="0000005D">
      <w:pPr>
        <w:pStyle w:val="Heading1"/>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Supporting entities (not documents, but needed to connect them)</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Forum —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the court/tribunal that </w:t>
      </w:r>
      <w:r w:rsidDel="00000000" w:rsidR="00000000" w:rsidRPr="00000000">
        <w:rPr>
          <w:rFonts w:ascii="Times New Roman" w:cs="Times New Roman" w:eastAsia="Times New Roman" w:hAnsi="Times New Roman"/>
          <w:rtl w:val="0"/>
        </w:rPr>
        <w:t xml:space="preserve">decides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 case; carries its level (Supreme, High Court, tribunal) and its Jurisdiction.</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Regulator —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the body that administers a law and issues notifications/circulars.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Jurisdiction —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the territory a court or law belongs to.</w:t>
      </w:r>
    </w:p>
    <w:p w:rsidR="00000000" w:rsidDel="00000000" w:rsidP="00000000" w:rsidRDefault="00000000" w:rsidRPr="00000000" w14:paraId="00000061">
      <w:pPr>
        <w:pStyle w:val="Heading1"/>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Authority order (ranking only, no numbers)</w:t>
      </w:r>
    </w:p>
    <w:p w:rsidR="00000000" w:rsidDel="00000000" w:rsidP="00000000" w:rsidRDefault="00000000" w:rsidRPr="00000000" w14:paraId="00000062">
      <w:pPr>
        <w:jc w:val="both"/>
        <w:rPr>
          <w:rFonts w:ascii="Times New Roman" w:cs="Times New Roman" w:eastAsia="Times New Roman" w:hAnsi="Times New Roman"/>
        </w:rPr>
      </w:pPr>
      <w:sdt>
        <w:sdtPr>
          <w:id w:val="1445828171"/>
          <w:tag w:val="goog_rdk_13"/>
        </w:sdtPr>
        <w:sdtContent>
          <w:r w:rsidDel="00000000" w:rsidR="00000000" w:rsidRPr="00000000">
            <w:rPr>
              <w:rFonts w:ascii="Cardo" w:cs="Cardo" w:eastAsia="Cardo" w:hAnsi="Cardo"/>
              <w:rtl w:val="0"/>
            </w:rPr>
            <w:t xml:space="preserve">Source type: Primary legislation (Act / Statute) → Subordinate legislation (Rule / Regulation)  → Notification → Circular → Judicial decision (ranked by court) → Secondary/editorial.</w:t>
          </w:r>
        </w:sdtContent>
      </w:sdt>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Between statutes: a special statute prevails over a general statute on the specific subject; a statute with an overriding (“notwithstanding”) clause prevails over the laws it names.</w:t>
      </w:r>
    </w:p>
    <w:p w:rsidR="00000000" w:rsidDel="00000000" w:rsidP="00000000" w:rsidRDefault="00000000" w:rsidRPr="00000000" w14:paraId="00000064">
      <w:pPr>
        <w:jc w:val="both"/>
        <w:rPr>
          <w:rFonts w:ascii="Times New Roman" w:cs="Times New Roman" w:eastAsia="Times New Roman" w:hAnsi="Times New Roman"/>
        </w:rPr>
      </w:pPr>
      <w:sdt>
        <w:sdtPr>
          <w:id w:val="212814232"/>
          <w:tag w:val="goog_rdk_14"/>
        </w:sdtPr>
        <w:sdtContent>
          <w:r w:rsidDel="00000000" w:rsidR="00000000" w:rsidRPr="00000000">
            <w:rPr>
              <w:rFonts w:ascii="Cardo" w:cs="Cardo" w:eastAsia="Cardo" w:hAnsi="Cardo"/>
              <w:rtl w:val="0"/>
            </w:rPr>
            <w:t xml:space="preserve">Court order: Supreme → High Court → Appellate tribunal (e.g. National Company Law Appellate Tribunal) → First-instance tribunal (e.g. National Company Law Tribunal) → other.</w:t>
          </w:r>
        </w:sdtContent>
      </w:sdt>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Principles: lower never overrides higher; later beats earlier on the same point at the same level; larger bench beats smaller; editorial has no binding force and comes last.</w:t>
      </w:r>
    </w:p>
    <w:p w:rsidR="00000000" w:rsidDel="00000000" w:rsidP="00000000" w:rsidRDefault="00000000" w:rsidRPr="00000000" w14:paraId="00000066">
      <w:pPr>
        <w:pStyle w:val="Heading1"/>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Territorial jurisdiction rule</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 Court binds only its own state. So when two High Courts conflict, the one for the state where the matter is based governs. Example: Bombay HC and Calcutta HC take opposite views — for a Bombay matter, the Bombay view carries more authority and the Calcutta view is merely persuasive. The Supreme Court binds everywhere, regardless of state.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3550"/>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f4b7c"/>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3550"/>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WRa5LqbtWkJrCI7aA2pes3i9Z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mCgIxMhIgCh4IB0IaCg9UaW1lcyBOZXcgUm9tYW4SB0d1bmdzdWgaJAoCMTMSHgocCAdCGAoPVGltZXMgTmV3IFJvbWFuEgVDYXJkbxokCgIxNBIeChwIB0IYCg9UaW1lcyBOZXcgUm9tYW4SBUNhcmRvOAByITExQWU0ZG5qcVh5MHh6dm9CTEsyQ212X05EeHRKd1pk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