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center"/>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44"/>
          <w:shd w:fill="auto" w:val="clear"/>
        </w:rPr>
        <w:t xml:space="preserve">CLAOnline Legal Research AI </w:t>
      </w:r>
      <w:r>
        <w:rPr>
          <w:rFonts w:ascii="Calibri" w:hAnsi="Calibri" w:cs="Calibri" w:eastAsia="Calibri"/>
          <w:b/>
          <w:color w:val="1F3A60"/>
          <w:spacing w:val="0"/>
          <w:position w:val="0"/>
          <w:sz w:val="44"/>
          <w:shd w:fill="auto" w:val="clear"/>
        </w:rPr>
        <w:t xml:space="preserve">—</w:t>
      </w:r>
      <w:r>
        <w:rPr>
          <w:rFonts w:ascii="Calibri" w:hAnsi="Calibri" w:cs="Calibri" w:eastAsia="Calibri"/>
          <w:b/>
          <w:color w:val="1F3A60"/>
          <w:spacing w:val="0"/>
          <w:position w:val="0"/>
          <w:sz w:val="44"/>
          <w:shd w:fill="auto" w:val="clear"/>
        </w:rPr>
        <w:t xml:space="preserve"> Comprehensive Evaluation</w:t>
      </w:r>
    </w:p>
    <w:p>
      <w:pPr>
        <w:spacing w:before="0" w:after="200" w:line="276"/>
        <w:ind w:right="0" w:left="0" w:firstLine="0"/>
        <w:jc w:val="center"/>
        <w:rPr>
          <w:rFonts w:ascii="Cambria" w:hAnsi="Cambria" w:cs="Cambria" w:eastAsia="Cambria"/>
          <w:color w:val="auto"/>
          <w:spacing w:val="0"/>
          <w:position w:val="0"/>
          <w:sz w:val="22"/>
          <w:shd w:fill="auto" w:val="clear"/>
        </w:rPr>
      </w:pPr>
      <w:r>
        <w:rPr>
          <w:rFonts w:ascii="Calibri" w:hAnsi="Calibri" w:cs="Calibri" w:eastAsia="Calibri"/>
          <w:i/>
          <w:color w:val="4A5568"/>
          <w:spacing w:val="0"/>
          <w:position w:val="0"/>
          <w:sz w:val="24"/>
          <w:shd w:fill="auto" w:val="clear"/>
        </w:rPr>
        <w:t xml:space="preserve">Comparative Benchmarking Across 20 Benchmark Legal Queries</w:t>
        <w:br/>
      </w: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 Which companies are required to file form DPT </w:t>
      </w:r>
      <w:r>
        <w:rPr>
          <w:rFonts w:ascii="Calibri" w:hAnsi="Calibri" w:cs="Calibri" w:eastAsia="Calibri"/>
          <w:b/>
          <w:color w:val="1F3A60"/>
          <w:spacing w:val="0"/>
          <w:position w:val="0"/>
          <w:sz w:val="26"/>
          <w:shd w:fill="auto" w:val="clear"/>
        </w:rPr>
        <w:t xml:space="preserve">–</w:t>
      </w:r>
      <w:r>
        <w:rPr>
          <w:rFonts w:ascii="Calibri" w:hAnsi="Calibri" w:cs="Calibri" w:eastAsia="Calibri"/>
          <w:b/>
          <w:color w:val="1F3A60"/>
          <w:spacing w:val="0"/>
          <w:position w:val="0"/>
          <w:sz w:val="26"/>
          <w:shd w:fill="auto" w:val="clear"/>
        </w:rPr>
        <w:t xml:space="preserve"> 3 and what is the due date of filing it for F.Y. 2025-26 ?</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0">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color w:val="auto"/>
                <w:spacing w:val="0"/>
                <w:position w:val="0"/>
                <w:shd w:fill="auto" w:val="clear"/>
              </w:rPr>
            </w:pPr>
            <w:r>
              <w:rPr>
                <w:rFonts w:ascii="Calibri" w:hAnsi="Calibri" w:cs="Calibri" w:eastAsia="Calibri"/>
                <w:color w:val="auto"/>
                <w:spacing w:val="0"/>
                <w:position w:val="0"/>
                <w:sz w:val="20"/>
                <w:shd w:fill="auto" w:val="clear"/>
              </w:rPr>
              <w:t xml:space="preserve">Based on the provided information, I can answer your query regarding the due date for filing Form DPT</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3 for the financial year 2025</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26, but I must note that the search context does not contain any detail on the specific categories of companies required to file this form. The context includes only a specific Ministry of Corporate Affairs circular addressing the filing deadline and a fee relaxation.</w:t>
              <w:br/>
              <w:br/>
              <w:t xml:space="preserve">### Due Date for Filing Form DPT</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3 for F.Y. 2025</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26</w:t>
              <w:br/>
              <w:br/>
              <w:t xml:space="preserve">According to the Ministry of Corporate Affairs, the statutory due date for filing **Form DPT</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3 (Return of deposits)** for the **financial year 2025</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2026** was **30 June 2026** [1].</w:t>
              <w:br/>
              <w:br/>
              <w:t xml:space="preserve">However, due to a fire incident at a data centre on 5 June 2026 and the consequent capacity</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enhancement activities, the MCA, via **General Circular No. 02/2026 dated 19 June 2026**, granted a relaxation. Companies are allowed to file the said return **up to 31 July 2026 without paying any additional fees** [1]. This means that even after the original due date, the filing can be completed until the end of July 2026 without incurring a late</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filing surcharge.</w:t>
              <w:br/>
              <w:br/>
              <w:t xml:space="preserve">### Companies Required to File Form DPT</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3</w:t>
              <w:br/>
              <w:br/>
              <w:t xml:space="preserve">I could not find authority on this in the CLAOnline database. The specific classes of companies mandated to file Form DPT</w:t>
            </w:r>
            <w:r>
              <w:rPr>
                <w:rFonts w:ascii="Segoe UI Symbol" w:hAnsi="Segoe UI Symbol" w:cs="Segoe UI Symbol" w:eastAsia="Segoe UI Symbol"/>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3 (e.g., whether all companies, only those accepting deposits, private companies, etc.) are not addressed in the provided sources. The circular only deals with the due date and the fee relaxation for the relevant financial year.</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2: A foreign company wants to open it liaison office in India ? How cant it do so ?</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504]: &lt;html&gt;</w:t>
              <w:br/>
              <w:br/>
              <w:t xml:space="preserve">&lt;head&gt;&lt;title&gt;504 Gateway Time-out&lt;/title&gt;&lt;/head&gt;</w:t>
              <w:br/>
              <w:br/>
              <w:t xml:space="preserve">&lt;body&gt;</w:t>
              <w:br/>
              <w:br/>
              <w:t xml:space="preserve">&lt;center&gt;&lt;h1&gt;504 Gateway Time-out&lt;/h1&gt;&lt;/center&gt;</w:t>
              <w:br/>
              <w:br/>
              <w:t xml:space="preserve">&lt;hr&gt;&lt;center&gt;nginx/1.28.3 (Ubuntu)&lt;/center&gt;</w:t>
              <w:br/>
              <w:br/>
              <w:t xml:space="preserve">&lt;/body&gt;</w:t>
              <w:br/>
              <w:br/>
              <w:t xml:space="preserve">&lt;/html&gt;</w:t>
              <w:br/>
              <w:br/>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22543D"/>
          <w:spacing w:val="0"/>
          <w:position w:val="0"/>
          <w:sz w:val="22"/>
          <w:shd w:fill="auto" w:val="clear"/>
        </w:rPr>
        <w:t xml:space="preserve">AFTER (New Version - Prompts FINALv2 &amp; Legal Ontology Engine):</w:t>
      </w: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3: Who are person acting in concert ? What are landmark case on it ?</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2">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 Who are ‘Persons Acting in Concert’ under the SEBI Takeover Regulations?</w:t>
              <w:br/>
              <w:br/>
              <w:t xml:space="preserve">The concept of **“persons acting in concert”** is rooted in the Securities and Exchange Board of India (Substantial Acquisition of Shares and Takeovers) Regulations, 1997 (the **“Takeover Regulations”**). It captures situations where two or more individuals or entities coordinate their actions towards a common acquisition-related goal concerning a specific target company.</w:t>
              <w:br/>
              <w:br/>
              <w:t xml:space="preserve">The essential ingredients, drawn from judicial pronouncements and the recommendations of the Justice P. N. Bhagwati Committee, are:</w:t>
              <w:br/>
              <w:t xml:space="preserve">- **Shared common objective or purpose:** The parties must have a unified aim of substantial acquisition of shares, voting rights, or gaining control over a particular target company. [2]</w:t>
              <w:br/>
              <w:t xml:space="preserve">- **Target-company nexus:** The common objective must be directed at a specific target company; without a target company, the idea of acting in concert is meaningless. [2]</w:t>
              <w:br/>
              <w:t xml:space="preserve">- **“Bright line” tests:** The Bhagwati Committee, whose views shaped the expanded definition in the 1997 regulations, articulated that persons acting in concert must demonstrate **commonality of objectives** and a **community of interests** </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 for instance, acquiring shares or voting rights beyond the threshold limit, or gaining control, and the very act of acquisition must serve this common objective. [5]</w:t>
              <w:br/>
              <w:br/>
              <w:t xml:space="preserve">A person cannot be labelled as acting in concert merely because of a pre-existing relationship, such as being a co-promoter of the target company. The focus is on the shared purpose behind the acquisition, not the bare relationship. [1]</w:t>
              <w:br/>
              <w:br/>
              <w:t xml:space="preserve">### Landmark Cases</w:t>
              <w:br/>
              <w:br/>
              <w:t xml:space="preserve">The following are the key judicial authorities that have interpreted and shaped the understanding of ‘persons acting in concert’:</w:t>
              <w:br/>
              <w:br/>
              <w:t xml:space="preserve">1.  **SEBI v. Modi Rubber Ltd. (Bombay High Court)** </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 **[2002] 46 CLA 118 (Bom.)** [1]</w:t>
              <w:br/>
              <w:t xml:space="preserve">    - The Division Bench of the Bombay High Court examined whether one promoter of a target company (Modipon Ltd.) could be deemed to be acting in concert with the acquirer (another co-promoter) simply by virtue of its promoter status.</w:t>
              <w:br/>
              <w:t xml:space="preserve">    - **Held:** The mere fact that an entity is a promoter of the target company does not automatically make it a “person acting in concert” with the acquirer. What must be shown is that it **shares the common objective or purpose of the acquirer in the matter of substantial acquisition of shares/voting rights or gaining control**. In this case, since the promoter was selling its shares (contrary to the acquirer’s objective of buying), it did not share that common objective and was therefore not acting in concert. [1]</w:t>
              <w:br/>
              <w:br/>
              <w:t xml:space="preserve">2.  **Daiichi Sankyo Co. Ltd. v. Jayaram Chigurupati (Supreme Court)** </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 **[2010] 98 CLA 607 (SC)** [2]</w:t>
              <w:br/>
              <w:t xml:space="preserve">    - The Supreme Court provided the definitive interpretation of the phrase “persons acting in concert” under the Takeover Regulations.</w:t>
              <w:br/>
              <w:t xml:space="preserve">    - **Key observations:**</w:t>
              <w:br/>
              <w:t xml:space="preserve">        - The concept is based on a target company on one side, and two or more persons coming together with the **shared common objective or purpose of substantial acquisition of shares, etc., of that target company**.</w:t>
              <w:br/>
              <w:t xml:space="preserve">        - Unless there is a target company, substantial acquisition of whose shares is the common objective, there can be no “persons acting in concert”. De hors the target company, the idea is irrelevant.</w:t>
              <w:br/>
              <w:t xml:space="preserve">        - Even if two or more persons join hands for any other common purpose, they do not comprise “persons acting in concert” as long as that purpose is not the substantial acquisition of shares of a target company. [2]</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4: Can promoters of a corporate debtor file application for insolvency resolution process against it? What are the recent judgments on it ?</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3">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Based on the provided search context, I can clarify the legal position regarding the locus standi (legal standing) of promoters in the Corporate Insolvency Resolution Process (CIRP), particularly concerning their ability to challenge orders after the process has been initiated. The context does not provide explicit authority on whether a promoter can *file* the initial application to trigger the CIRP. However, it contains a recent, pertinent judgment on a promoter’s standing to challenge orders once the CIRP has commenced.</w:t>
              <w:br/>
              <w:br/>
              <w:t xml:space="preserve">### Analysis of Promoter’s Standing under the IBC</w:t>
              <w:br/>
              <w:br/>
              <w:t xml:space="preserve">The search results cite a very recent judgment from the National Company Law Appellate Tribunal (NCLAT) that directly addresses the standing of a promoter/shareholder in CIRP proceedings.</w:t>
              <w:br/>
              <w:br/>
              <w:t xml:space="preserve">-   **Locus Standi to Challenge an Admission Order**: The NCLAT in *Park Energy (P.) Ltd. v. State of Bank of India* [2025] has clearly held that a shareholder or promoter is **not** considered an "aggrieved person" under Section 61 of the Insolvency and Bankruptcy Code, 2016 (IBC) [2][4]. Consequently, a promoter has no legal standing (locus) to challenge an order of the NCLT that admits an application for initiating CIRP under Section 7 (filed by a financial creditor) or Section 9 (filed by an operational creditor) [2][4].</w:t>
              <w:br/>
              <w:br/>
              <w:t xml:space="preserve">-   **On Whose Behalf Can an Application be Filed**: The context from the same judgment clarifies the scheme of who may initiate the CIRP. As per Section 6 of the IBC, the process can be initiated by a financial creditor, an operational creditor, or the **corporate debtor itself** [2]. The law does not specify the promoter as a separate entity with the right to file such an application in their personal capacity.</w:t>
              <w:br/>
              <w:br/>
              <w:t xml:space="preserve">-   **Derivative Action Post-Admission**: Once the CIRP is initiated and an Interim Resolution Professional (IRP) or Resolution Professional (RP) is appointed, the management of the corporate debtor shifts. The NCLAT has ruled that following such an appointment, the RP assumes sole authority to represent the corporate debtor [4]. Therefore, a derivative action on behalf of the corporate debtor cannot be maintained by a promoter or even a majority shareholder. Their recourse is to approach the IRP/RP with their grievance, who will then decide whether to take appropriate legal remedy on behalf of the company [4]. This principle was also supported by a reference to a Delhi High Court judgment in *ICP Investments v. Uppal Housing* [4].</w:t>
              <w:br/>
              <w:br/>
              <w:t xml:space="preserve">In essence, while the provided texts do not affirmatively state that a promoter can file the original CIRP application, the recent case law definitively restricts their role after the process has begun. A promoter lacks the standing to challenge the admission of a CIRP application and cannot pursue derivative legal actions on behalf of the corporate debtor, as that authority rests solely with the appointed resolution professional.</w:t>
              <w:br/>
              <w:br/>
              <w:t xml:space="preserve">### Summary of the Recent Judgment</w:t>
              <w:br/>
              <w:br/>
              <w:t xml:space="preserve">| Case Name | Citation | Key Holding on Promoter’s Standing |</w:t>
              <w:br/>
              <w:t xml:space="preserve">| :--- | :--- | :--- |</w:t>
              <w:br/>
              <w:t xml:space="preserve">| Park Energy (P.) Ltd. v. State of Bank of India | [2025] 188 CLA 261 (NCLAT) | A shareholder/promoter does not fall within the definition of an "aggrieved person" under Section 61 of the IBC and has **no locus to challenge the order of admission** of a Section 7 or Section 9 application [2][4]. |</w:t>
              <w:br/>
              <w:br/>
              <w:t xml:space="preserve">I could not find authority in the provided context on whether a promoter can file the initial application for initiating the CIRP against the corporate debtor. The documents primarily address the promoter's standing after the CIRP has been admitted.</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5: What are the liabilities of directors of a company in case of dishonour of cheque issued during moratorium ?</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4">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 Directors' Liability for Dishonoured Cheques During Moratorium</w:t>
              <w:br/>
              <w:br/>
              <w:t xml:space="preserve">The moratorium declared under **Section 13 of the Insolvency and Bankruptcy Code, 2016 (IBC)** is a statutory bar on proceedings against the corporate debtor itself. It is personal to the company and does not automatically extinguish the personal liability of its directors or officers under other statutes. [1]</w:t>
              <w:br/>
              <w:br/>
              <w:t xml:space="preserve">#### The Specific Case of Dishonour of a Cheque</w:t>
              <w:br/>
              <w:t xml:space="preserve">Where a cheque is issued by the corporate debtor **before the declaration of moratorium** but is **dishonoured after such declaration**, the situation is covered by **Section 138 of the Negotiable Instruments Act, 1881 (NI Act)**. In such an event, the corporate debtor itself is liable for the dishonour. [2]</w:t>
              <w:br/>
              <w:br/>
              <w:t xml:space="preserve">However, **Section 141 of the NI Act** imposes a vicarious personal liability on:</w:t>
              <w:br/>
              <w:t xml:space="preserve">- The **person who signed the cheque**, and</w:t>
              <w:br/>
              <w:t xml:space="preserve">- The **directors of the company** who were in charge of and responsible for the day-to-day affairs of the company at the relevant time.</w:t>
              <w:br/>
              <w:br/>
              <w:t xml:space="preserve">This liability is independent of the corporate debtor's liability. [2]</w:t>
              <w:br/>
              <w:br/>
              <w:t xml:space="preserve">#### The Effect of the Moratorium</w:t>
              <w:br/>
              <w:t xml:space="preserve">- The moratorium is a shield only for the corporate debtor. It does **not** absolve directors or other officers from liabilities that have been **personally fastened on them** by a statute like the NI Act. [2] [3]</w:t>
              <w:br/>
              <w:t xml:space="preserve">- Because the director’s liability under Section 141 is **personal and independent**, a moratorium under Section 14 of the IBC has **no effect** on it. The payee of the dishonoured cheque is free to proceed against such directors for recovery. [2]</w:t>
              <w:br/>
              <w:t xml:space="preserve">- After liquidating the liability, the director may seek reimbursement from the corporate debtor and would then be considered a creditor of the corporate debtor in the insolvency process. [2]</w:t>
              <w:br/>
              <w:br/>
              <w:t xml:space="preserve">This position is supported by the Supreme Court’s decision in ***Ansal Crown Heights Flat Buyers Association v. Ansal Crown Infrabuild (P.) Ltd.*** [2024] 180 CLA</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6: The board wants to sell off one idle property of the company that earns no revenue. Do we still need a special resolution under section 180 or is that only when you're selling the whole undertaking?</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5">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504]: &lt;html&gt;</w:t>
              <w:br/>
              <w:br/>
              <w:t xml:space="preserve">&lt;head&gt;&lt;title&gt;504 Gateway Time-out&lt;/title&gt;&lt;/head&gt;</w:t>
              <w:br/>
              <w:br/>
              <w:t xml:space="preserve">&lt;body&gt;</w:t>
              <w:br/>
              <w:br/>
              <w:t xml:space="preserve">&lt;center&gt;&lt;h1&gt;504 Gateway Time-out&lt;/h1&gt;&lt;/center&gt;</w:t>
              <w:br/>
              <w:br/>
              <w:t xml:space="preserve">&lt;hr&gt;&lt;center&gt;nginx/1.28.3 (Ubuntu)&lt;/center&gt;</w:t>
              <w:br/>
              <w:br/>
              <w:t xml:space="preserve">&lt;/body&gt;</w:t>
              <w:br/>
              <w:br/>
              <w:t xml:space="preserve">&lt;/html&gt;</w:t>
              <w:br/>
              <w:br/>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7: Unlisted public co’s shareholders are trying to transfer shares that were never dematerialised. Can we as a company’s board reject it?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6">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8: Client wants to write off accumulated losses against securities premium and cut the paid-up value of equity and pref shares, all as one scheme. Can that ride on section 230 or does it have to go through s.66?</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7">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504]: &lt;html&gt;</w:t>
              <w:br/>
              <w:br/>
              <w:t xml:space="preserve">&lt;head&gt;&lt;title&gt;504 Gateway Time-out&lt;/title&gt;&lt;/head&gt;</w:t>
              <w:br/>
              <w:br/>
              <w:t xml:space="preserve">&lt;body&gt;</w:t>
              <w:br/>
              <w:br/>
              <w:t xml:space="preserve">&lt;center&gt;&lt;h1&gt;504 Gateway Time-out&lt;/h1&gt;&lt;/center&gt;</w:t>
              <w:br/>
              <w:br/>
              <w:t xml:space="preserve">&lt;hr&gt;&lt;center&gt;nginx/1.28.3 (Ubuntu)&lt;/center&gt;</w:t>
              <w:br/>
              <w:br/>
              <w:t xml:space="preserve">&lt;/body&gt;</w:t>
              <w:br/>
              <w:br/>
              <w:t xml:space="preserve">&lt;/html&gt;</w:t>
              <w:br/>
              <w:br/>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9: HC quashed my client's cheque-bounce complaint before summoning saying no debt was shown, but presentation, dishonour and notice were all done. Can HC do that?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8">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10: Ex-MD quit but is still sitting on company laptops and records. Can we prosecute her even with no formal "entrustment" on record?</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9">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11: Our multi-state co-op society invested in a company now in CIRP. RP says we're not in the "same line of business". Is that read off our bye-laws or off actual turnover and profit?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0">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Goodbye! It was a pleasure assisting you. If you need help with Indian corporate law or compliance in the future, I'll be here to assist.</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12: Bank's filed s.7 against the company and the guarantor at the same time. Can they run both together or does the election bar it?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1">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13: The company has been resolved and the plan's approved. The old promoter now wants to challenge it in the SC. Does he even have locus as an aggrieved person?</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2">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14: Unlisted co wants to buy back some shares. What resolution do we need u/s 68, and is there anything in law that could block it?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3">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504]: &lt;html&gt;</w:t>
              <w:br/>
              <w:br/>
              <w:t xml:space="preserve">&lt;head&gt;&lt;title&gt;504 Gateway Time-out&lt;/title&gt;&lt;/head&gt;</w:t>
              <w:br/>
              <w:br/>
              <w:t xml:space="preserve">&lt;body&gt;</w:t>
              <w:br/>
              <w:br/>
              <w:t xml:space="preserve">&lt;center&gt;&lt;h1&gt;504 Gateway Time-out&lt;/h1&gt;&lt;/center&gt;</w:t>
              <w:br/>
              <w:br/>
              <w:t xml:space="preserve">&lt;hr&gt;&lt;center&gt;nginx/1.28.3 (Ubuntu)&lt;/center&gt;</w:t>
              <w:br/>
              <w:br/>
              <w:t xml:space="preserve">&lt;/body&gt;</w:t>
              <w:br/>
              <w:br/>
              <w:t xml:space="preserve">&lt;/html&gt;</w:t>
              <w:br/>
              <w:br/>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15: Is New Development Bank a "body corporate" as defined under Companies Act?</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4">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16: Missed the DPT-3 due date for FY ending March 2026. Till when can we file without the extra additional fee?</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5">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17: Are preference shareholders creditors of the company, or members? And does the redemption angle change how you treat them?</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6">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18: What's the sectoral cap for the insurance sector and is it an automatic route under the current FDI policy?</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7">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19: Client is an FPI wanting to put money into government securities. Please tell me the framework for this.</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8">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280" w:after="8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1F3A60"/>
          <w:spacing w:val="0"/>
          <w:position w:val="0"/>
          <w:sz w:val="26"/>
          <w:shd w:fill="auto" w:val="clear"/>
        </w:rPr>
        <w:t xml:space="preserve">Question 20: The company announced a stock split and there was some trading just before it. Is a stock split even UPSI for insider-trading purposes?</w:t>
      </w:r>
    </w:p>
    <w:p>
      <w:pPr>
        <w:spacing w:before="80" w:after="40" w:line="276"/>
        <w:ind w:right="0" w:left="0" w:firstLine="0"/>
        <w:jc w:val="left"/>
        <w:rPr>
          <w:rFonts w:ascii="Cambria" w:hAnsi="Cambria" w:cs="Cambria" w:eastAsia="Cambria"/>
          <w:color w:val="auto"/>
          <w:spacing w:val="0"/>
          <w:position w:val="0"/>
          <w:sz w:val="22"/>
          <w:shd w:fill="auto" w:val="clear"/>
        </w:rPr>
      </w:pPr>
      <w:r>
        <w:rPr>
          <w:rFonts w:ascii="Calibri" w:hAnsi="Calibri" w:cs="Calibri" w:eastAsia="Calibri"/>
          <w:b/>
          <w:color w:val="C53030"/>
          <w:spacing w:val="0"/>
          <w:position w:val="0"/>
          <w:sz w:val="22"/>
          <w:shd w:fill="auto" w:val="clear"/>
        </w:rPr>
        <w:t xml:space="preserve">BEFORE (Deployed Version - </w:t>
      </w:r>
      <w:hyperlink xmlns:r="http://schemas.openxmlformats.org/officeDocument/2006/relationships" r:id="docRId19">
        <w:r>
          <w:rPr>
            <w:rFonts w:ascii="Calibri" w:hAnsi="Calibri" w:cs="Calibri" w:eastAsia="Calibri"/>
            <w:b/>
            <w:color w:val="C53030"/>
            <w:spacing w:val="0"/>
            <w:position w:val="0"/>
            <w:sz w:val="22"/>
            <w:u w:val="single"/>
            <w:shd w:fill="auto" w:val="clear"/>
          </w:rPr>
          <w:t xml:space="preserve">https://claonline.analytx4t.com</w:t>
        </w:r>
      </w:hyperlink>
      <w:r>
        <w:rPr>
          <w:rFonts w:ascii="Calibri" w:hAnsi="Calibri" w:cs="Calibri" w:eastAsia="Calibri"/>
          <w:b/>
          <w:color w:val="C53030"/>
          <w:spacing w:val="0"/>
          <w:position w:val="0"/>
          <w:sz w:val="22"/>
          <w:shd w:fill="auto" w:val="clear"/>
        </w:rPr>
        <w:t xml:space="preserve">):</w:t>
      </w:r>
    </w:p>
    <w:tbl>
      <w:tblPr/>
      <w:tblGrid>
        <w:gridCol w:w="9936"/>
      </w:tblGrid>
      <w:tr>
        <w:trPr>
          <w:trHeight w:val="1" w:hRule="atLeast"/>
          <w:jc w:val="center"/>
        </w:trPr>
        <w:tc>
          <w:tcPr>
            <w:tcW w:w="9936" w:type="dxa"/>
            <w:tcBorders>
              <w:top w:val="single" w:color="000000" w:sz="0"/>
              <w:left w:val="single" w:color="000000" w:sz="0"/>
              <w:bottom w:val="single" w:color="000000" w:sz="0"/>
              <w:right w:val="single" w:color="000000" w:sz="0"/>
            </w:tcBorders>
            <w:shd w:color="auto" w:fill="fff5f5" w:val="clear"/>
            <w:tcMar>
              <w:left w:w="108" w:type="dxa"/>
              <w:right w:w="108" w:type="dxa"/>
            </w:tcMar>
            <w:vAlign w:val="top"/>
          </w:tcPr>
          <w:p>
            <w:pPr>
              <w:spacing w:before="0" w:after="200" w:line="276"/>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[Error Code 500]: {"error":"Failed to search legal documents database."}</w:t>
            </w:r>
          </w:p>
        </w:tc>
      </w:tr>
    </w:tbl>
    <w:p>
      <w:pPr>
        <w:spacing w:before="0" w:after="200" w:line="276"/>
        <w:ind w:right="0" w:left="0" w:firstLine="0"/>
        <w:jc w:val="left"/>
        <w:rPr>
          <w:rFonts w:ascii="Cambria" w:hAnsi="Cambria" w:cs="Cambria" w:eastAsia="Cambria"/>
          <w:color w:val="auto"/>
          <w:spacing w:val="0"/>
          <w:position w:val="0"/>
          <w:sz w:val="22"/>
          <w:shd w:fill="auto" w:val="clear"/>
        </w:rPr>
      </w:pPr>
    </w:p>
    <w:p>
      <w:pPr>
        <w:spacing w:before="0" w:after="200" w:line="276"/>
        <w:ind w:right="0" w:left="0" w:firstLine="0"/>
        <w:jc w:val="left"/>
        <w:rPr>
          <w:rFonts w:ascii="Cambria" w:hAnsi="Cambria" w:cs="Cambria" w:eastAsia="Cambria"/>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claonline.analytx4t.com/" Id="docRId17" Type="http://schemas.openxmlformats.org/officeDocument/2006/relationships/hyperlink" /><Relationship TargetMode="External" Target="https://claonline.analytx4t.com/" Id="docRId7" Type="http://schemas.openxmlformats.org/officeDocument/2006/relationships/hyperlink" /><Relationship TargetMode="External" Target="https://claonline.analytx4t.com/" Id="docRId14" Type="http://schemas.openxmlformats.org/officeDocument/2006/relationships/hyperlink" /><Relationship TargetMode="External" Target="https://claonline.analytx4t.com/" Id="docRId6" Type="http://schemas.openxmlformats.org/officeDocument/2006/relationships/hyperlink" /><Relationship TargetMode="External" Target="https://claonline.analytx4t.com/" Id="docRId1" Type="http://schemas.openxmlformats.org/officeDocument/2006/relationships/hyperlink" /><Relationship TargetMode="External" Target="https://claonline.analytx4t.com/" Id="docRId11" Type="http://schemas.openxmlformats.org/officeDocument/2006/relationships/hyperlink" /><Relationship TargetMode="External" Target="https://claonline.analytx4t.com/" Id="docRId15" Type="http://schemas.openxmlformats.org/officeDocument/2006/relationships/hyperlink" /><Relationship TargetMode="External" Target="https://claonline.analytx4t.com/" Id="docRId19" Type="http://schemas.openxmlformats.org/officeDocument/2006/relationships/hyperlink" /><Relationship TargetMode="External" Target="https://claonline.analytx4t.com/" Id="docRId5" Type="http://schemas.openxmlformats.org/officeDocument/2006/relationships/hyperlink" /><Relationship TargetMode="External" Target="https://claonline.analytx4t.com/" Id="docRId9" Type="http://schemas.openxmlformats.org/officeDocument/2006/relationships/hyperlink" /><Relationship TargetMode="External" Target="https://claonline.analytx4t.com/" Id="docRId0" Type="http://schemas.openxmlformats.org/officeDocument/2006/relationships/hyperlink" /><Relationship TargetMode="External" Target="https://claonline.analytx4t.com/" Id="docRId12" Type="http://schemas.openxmlformats.org/officeDocument/2006/relationships/hyperlink" /><Relationship TargetMode="External" Target="https://claonline.analytx4t.com/" Id="docRId16" Type="http://schemas.openxmlformats.org/officeDocument/2006/relationships/hyperlink" /><Relationship Target="styles.xml" Id="docRId21" Type="http://schemas.openxmlformats.org/officeDocument/2006/relationships/styles" /><Relationship TargetMode="External" Target="https://claonline.analytx4t.com/" Id="docRId4" Type="http://schemas.openxmlformats.org/officeDocument/2006/relationships/hyperlink" /><Relationship TargetMode="External" Target="https://claonline.analytx4t.com/" Id="docRId8" Type="http://schemas.openxmlformats.org/officeDocument/2006/relationships/hyperlink" /><Relationship TargetMode="External" Target="https://claonline.analytx4t.com/" Id="docRId13" Type="http://schemas.openxmlformats.org/officeDocument/2006/relationships/hyperlink" /><Relationship Target="numbering.xml" Id="docRId20" Type="http://schemas.openxmlformats.org/officeDocument/2006/relationships/numbering" /><Relationship TargetMode="External" Target="https://claonline.analytx4t.com/" Id="docRId3" Type="http://schemas.openxmlformats.org/officeDocument/2006/relationships/hyperlink" /><Relationship TargetMode="External" Target="https://claonline.analytx4t.com/" Id="docRId10" Type="http://schemas.openxmlformats.org/officeDocument/2006/relationships/hyperlink" /><Relationship TargetMode="External" Target="https://claonline.analytx4t.com/" Id="docRId18" Type="http://schemas.openxmlformats.org/officeDocument/2006/relationships/hyperlink" /><Relationship TargetMode="External" Target="https://claonline.analytx4t.com/" Id="docRId2" Type="http://schemas.openxmlformats.org/officeDocument/2006/relationships/hyperlink" /></Relationships>
</file>