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A60"/>
          <w:sz w:val="44"/>
        </w:rPr>
        <w:t>CLAOnline Legal Research AI — Comprehensive Before &amp; After Evaluation</w:t>
      </w:r>
    </w:p>
    <w:p>
      <w:pPr>
        <w:jc w:val="center"/>
      </w:pPr>
      <w:r>
        <w:rPr>
          <w:rFonts w:ascii="Calibri" w:hAnsi="Calibri"/>
          <w:i/>
          <w:color w:val="4A5568"/>
          <w:sz w:val="24"/>
        </w:rPr>
        <w:t>Comparative Benchmarking Across 20 Benchmark Legal Queries</w:t>
        <w:br/>
        <w:t>(Deployed Version vs. Refactored FINALv2 Agent Prompts &amp; Legal Ontology Engine)</w:t>
      </w:r>
    </w:p>
    <w:p/>
    <w:tbl>
      <w:tblPr>
        <w:tblW w:type="auto" w:w="0"/>
        <w:jc w:val="center"/>
        <w:tblLook w:firstColumn="1" w:firstRow="1" w:lastColumn="0" w:lastRow="0" w:noHBand="0" w:noVBand="1" w:val="04A0"/>
      </w:tblPr>
      <w:tblGrid>
        <w:gridCol w:w="9936"/>
      </w:tblGrid>
      <w:tr>
        <w:tc>
          <w:tcPr>
            <w:tcW w:type="dxa" w:w="9792"/>
            <w:shd w:val="clear" w:color="auto" w:fill="F0F4F8"/>
          </w:tcPr>
          <w:p>
            <w:pPr>
              <w:spacing w:before="120" w:after="120"/>
            </w:pPr>
            <w:r>
              <w:rPr>
                <w:b/>
                <w:color w:val="1F3A60"/>
                <w:sz w:val="24"/>
              </w:rPr>
              <w:t>EXECUTIVE SUMMARY &amp; SYSTEM ARCHITECTURE UPGRADE SUMMARY</w:t>
              <w:br/>
            </w:r>
            <w:r>
              <w:rPr>
                <w:rFonts w:ascii="Calibri" w:hAnsi="Calibri"/>
                <w:sz w:val="21"/>
              </w:rPr>
              <w:t>This evaluation benchmarks 20 complex corporate and commercial legal queries across two system states:</w:t>
              <w:br/>
              <w:t>1. BEFORE (Deployed Production Version): Legacy retrieval and basic prompt architecture.</w:t>
              <w:br/>
              <w:t>2. AFTER (New Local Architecture): Powered by CLAOnline Agent System Prompts FINALv2 and strict CLA Legal Ontology integration.</w:t>
              <w:br/>
              <w:br/>
              <w:t>Key Improvements Observed in After Responses:</w:t>
              <w:br/>
              <w:t>• Statutory Precision &amp; Precedence: Strictly prioritizes Primary Legislation (Acts) &gt; Rules/Regulations &gt; Notifications &gt; Circulars &gt; Case Law.</w:t>
              <w:br/>
              <w:t>• Detailed Legal Reasoning: Eliminates general summary gaps by citing explicit section numbers, sub-rules, and statutory notifications.</w:t>
              <w:br/>
              <w:t>• Legal Advisory Tone: Delivers structured, humanized legal opinions tailored for tier-one corporate legal practice.</w:t>
              <w:br/>
              <w:t>• Grounded Suggestions: Generates relevant follow-up research avenues based strictly on retrieved authorities.</w:t>
            </w:r>
          </w:p>
        </w:tc>
      </w:tr>
    </w:tbl>
    <w:p/>
    <w:p>
      <w:pPr>
        <w:spacing w:before="280" w:after="80"/>
      </w:pPr>
      <w:r>
        <w:rPr>
          <w:rFonts w:ascii="Calibri" w:hAnsi="Calibri"/>
          <w:b/>
          <w:color w:val="1F3A60"/>
          <w:sz w:val="26"/>
        </w:rPr>
        <w:t>Question 1: Which companies are required to file form DPT – 3 and what is the due date of filing it for F.Y. 2025-26 ?</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Based on the provided information, I can answer your query regarding the due date for filing Form DPT‑3 for the financial year 2025‑26, but I must note that the search context does not contain any detail on the specific categories of companies required to file this form. The context includes only a specific Ministry of Corporate Affairs circular addressing the filing deadline and a fee relaxation.</w:t>
              <w:br/>
              <w:br/>
              <w:t>### Due Date for Filing Form DPT‑3 for F.Y. 2025‑26</w:t>
              <w:br/>
              <w:br/>
              <w:t>According to the Ministry of Corporate Affairs, the statutory due date for filing **Form DPT‑3 (Return of deposits)** for the **financial year 2025‑2026** was **30 June 2026** [1].</w:t>
              <w:br/>
              <w:br/>
              <w:t>However, due to a fire incident at a data centre on 5 June 2026 and the consequent capacity‑enhancement activities, the MCA, via **General Circular No. 02/2026 dated 19 June 2026**, granted a relaxation. Companies are allowed to file the said return **up to 31 July 2026 without paying any additional fees** [1]. This means that even after the original due date, the filing can be completed until the end of July 2026 without incurring a late‑filing surcharge.</w:t>
              <w:br/>
              <w:br/>
              <w:t>### Companies Required to File Form DPT‑3</w:t>
              <w:br/>
              <w:br/>
              <w:t>I could not find authority on this in the CLAOnline database. The specific classes of companies mandated to file Form DPT‑3 (e.g., whether all companies, only those accepting deposits, private companies, etc.) are not addressed in the provided sources. The circular only deals with the due date and the fee relaxation for the relevant financial year.</w:t>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Every company (other than a government company) to which the Companies (Acceptance of Deposits) Rules, 2014 apply is required to file Form DPT-3. This includes filing a return of deposits and/or particulars of transactions not considered as deposits. The standard due date for FY 2025-26 is 30 June 2026. However, for FY 2025-26, the MCA has allowed filing up to 31 July 2026 without additional fees.</w:t>
              <w:br/>
              <w:br/>
              <w:t>**Details**</w:t>
              <w:br/>
              <w:br/>
              <w:t>**Legislation (Subordinate Legislation)**</w:t>
              <w:br/>
              <w:br/>
              <w:t>Rule 16 of the Companies (Acceptance of Deposits) Rules, 2014 mandates that every company to which these rules apply shall, on or before the 30th day of June of every year, file with the Registrar a return in Form DPT-3. This return must contain information as on the 31st day of March of that year and must be duly audited by the company's auditor, who shall submit a declaration to that effect in the form [Source 2].</w:t>
              <w:br/>
              <w:br/>
              <w:t>The Explanation to this rule clarifies that Form DPT-3 shall be used for filing a return of deposit or particulars of a transaction not considered as deposit or both, by **every company other than a Government company** [Source 2].</w:t>
              <w:br/>
              <w:br/>
              <w:t>**Circular**</w:t>
              <w:br/>
              <w:br/>
              <w:t>**Relaxation for FY 2025-26:**</w:t>
              <w:br/>
              <w:t>The Ministry of Corporate Affairs (MCA) issued **General Circular No. 02/2026 dated 19th June 2026**, acknowledging that the due date for filing Form DPT-3 for FY 2025-26 is 30 June 2026. In light of capacity enhancement/restoration activities at a data centre, the MCA has allowed companies to file Form DPT-3 for the financial year 2025-2026 **without paying additional fees up to 31st July 2026** [Source 5].</w:t>
              <w:br/>
              <w:br/>
              <w:t>*   **Standard Due Date:** 30 June 2026.</w:t>
              <w:br/>
              <w:t>*   **Extended Period (without additional fees):** Up to 31 July 2026.</w:t>
              <w:br/>
              <w:br/>
              <w:t>**Conclusion**</w:t>
              <w:br/>
              <w:t>For FY 2025-26, all companies except government companies are required to file Form DPT-3, and while the statutory due date is 30 June 2026, the MCA has permitted a relaxation to file the form without additional fees up to 31 July 2026.</w:t>
              <w:br/>
              <w:br/>
              <w:t>**Sources**</w:t>
              <w:br/>
              <w:t>*   Rule 16 of the Companies (Acceptance of Deposits) Rules, 2014 [Source 2]</w:t>
              <w:br/>
              <w:t>*   General Circular No. 02/2026 dated 19th June 2026 [Source 5]</w:t>
              <w:br/>
              <w:br/>
              <w:t>This is legal research, not legal advice. Please verify against the primary source.</w:t>
            </w:r>
          </w:p>
        </w:tc>
      </w:tr>
    </w:tbl>
    <w:p/>
    <w:p>
      <w:pPr>
        <w:spacing w:before="280" w:after="80"/>
      </w:pPr>
      <w:r>
        <w:rPr>
          <w:rFonts w:ascii="Calibri" w:hAnsi="Calibri"/>
          <w:b/>
          <w:color w:val="1F3A60"/>
          <w:sz w:val="26"/>
        </w:rPr>
        <w:t>Question 2: A foreign company wants to open it liaison office in India ? How cant it do so ?</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[Error Code 504]: &lt;html&gt;</w:t>
              <w:br/>
              <w:br/>
              <w:t>&lt;head&gt;&lt;title&gt;504 Gateway Time-out&lt;/title&gt;&lt;/head&gt;</w:t>
              <w:br/>
              <w:br/>
              <w:t>&lt;body&gt;</w:t>
              <w:br/>
              <w:br/>
              <w:t>&lt;center&gt;&lt;h1&gt;504 Gateway Time-out&lt;/h1&gt;&lt;/center&gt;</w:t>
              <w:br/>
              <w:br/>
              <w:t>&lt;hr&gt;&lt;center&gt;nginx/1.28.3 (Ubuntu)&lt;/center&gt;</w:t>
              <w:br/>
              <w:br/>
              <w:t>&lt;/body&gt;</w:t>
              <w:br/>
              <w:br/>
              <w:t>&lt;/html&gt;</w:t>
              <w:br/>
              <w:br/>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A foreign company can establish a liaison office (LO) in India by obtaining approval under the Foreign Exchange Management Act (FEMA) regulations and subsequently complying with the registration requirements under the Companies Act, 2013. The process is primarily governed by the Foreign Exchange Management (Establishment in India of a branch office or a liaison office or a project office or any other place of business) Regulations, 2016, and involves submitting an application through an Authorised Dealer (AD) Category-I bank to the Reserve Bank of India (RBI), followed by filings with the Registrar of Companies (ROC).</w:t>
              <w:br/>
              <w:br/>
              <w:t>**FEMA Regulations and Approval Route**</w:t>
              <w:br/>
              <w:t>The primary legal framework for the establishment of an LO is the Foreign Exchange Management (Establishment in India of a branch office or a liaison office or a project office or any other place of business) Regulations, 2016 (FEMR, 2016).</w:t>
              <w:br/>
              <w:br/>
              <w:t>*   **Application Process:** A person resident outside India desiring to establish a liaison office in India must apply to the RBI through an Authorised Dealer, using Form FNC, as amended by the RBI from time to time [Source 1]. This application is submitted to the AD Category-I bank designated by the applicant, for onward transmission to the RBI, along with the necessary documents [Source 3, Form FNC description].</w:t>
              <w:br/>
              <w:t>*   **Approval from RBI:** The application is typically approved by the RBI under the general permission route through the AD bank. However, prior approval of the Reserve Bank is specifically required in certain cases, including where the applicant is a citizen of or registered in Pakistan, or in specific instances for applicants from Bangladesh, Sri Lanka, Afghanistan, Iran, China, Hong Kong, or Macau, if the LO is to be opened in Jammu and Kashmir, the North East region, or Andaman and Nicobar Islands [Source 4].</w:t>
              <w:br/>
              <w:t>*   **Permitted Activities:** An LO in India is permitted to undertake only the activities listed in Schedule II of the regulations. These include representing the parent/group company in India, promoting export/import from/to India, promoting technical/financial collaborations, and acting as a communication channel between the parent company and Indian companies. An LO cannot undertake any commercial, trading, or industrial activity, directly or indirectly [Source 3].</w:t>
              <w:br/>
              <w:t>*   **Validity and Extensions:** A person permitted to establish an LO can apply to the concerned AD for an extension of the validity period of the approval, subject to RBI directions. Notably, entities engaged in the construction and development sectors, and Non-Banking Finance Companies (NBFCs), are permitted to open an LO for only two years, with no further extension allowed. Upon expiry, the office must either close down or convert into a Joint Venture/Wholly Owned Subsidiary in conformity with the extant FDI policy [Source 1, Source 4].</w:t>
              <w:br/>
              <w:t>*   **Additional Offices:** If a foreign company desires to open an additional LO, it must submit a fresh FNC Form to the AD Category-I bank along with a justification for the need for the additional office/s [Source 4].</w:t>
              <w:br/>
              <w:br/>
              <w:t>**Companies Act, 2013 Compliance**</w:t>
              <w:br/>
              <w:t>Post-approval from the RBI, the foreign company must comply with the registration requirements under the Companies Act, 2013.</w:t>
              <w:br/>
              <w:br/>
              <w:t>*   **Registration with ROC:** Within 30 days of establishing its LO in India, the foreign company is mandatorily required to deliver specific documents to the Registrar of Companies (ROC) for registration [Source 5].</w:t>
              <w:br/>
              <w:t>*   **Documents to be Filed:** The filing, as per Section 380 of the Companies Act, 2013, must include: a certified copy of the company’s charter, statutes, or memorandum and articles of association; the full address of the registered or principal office; a list of directors and secretary; the name and address of one or more persons resident in India authorized to accept service of process and any notices; the full address of the office in India deemed its principal place of business; and a declaration that none of the directors or the authorized representative has been convicted or debarred from the formation or management of companies in India or abroad [Source 5].</w:t>
              <w:br/>
              <w:t>*   **Filing Form FC-1:** This information, along with the required documents, must be filed with the ROC in Form FC-1. The application must be supported by an attested copy of the approval from the RBI under FEMA, or a declaration from the authorized representative that no such approval is required, along with approvals from any other sectoral regulators, if applicable [Source 6].</w:t>
              <w:br/>
              <w:t>*   **Display of Name:** Post-establishment, every foreign company must conspicuously exhibit its name and country of incorporation on the outside of its office in India and state this information in all business letters, bill-heads, and official publications [Source 7].</w:t>
              <w:br/>
              <w:br/>
              <w:t>The establishment of a liaison office by a foreign company in India requires a two-step process: first, securing regulatory approval from the RBI under FEMA by applying through an AD bank using Form FNC, and second, completing a statutory registration with the ROC within 30 days of establishment by filing Form FC-1 along with the required documents.</w:t>
              <w:br/>
              <w:br/>
              <w:t>**Sources:**</w:t>
              <w:br/>
              <w:t>- Foreign Exchange Management (Establishment in India of a branch office or a liaison office or a project office or any other place of business) Regulations, 2016 [Sources 1, 3, 4]</w:t>
              <w:br/>
              <w:t>- Companies Act, 2013, Section 380 [Sources 5, 6]</w:t>
              <w:br/>
              <w:t>- Companies Act, 2013, Section 382 [Source 7]</w:t>
              <w:br/>
              <w:br/>
              <w:t>This is legal research, not legal advice. Please verify against the primary source.</w:t>
            </w:r>
          </w:p>
        </w:tc>
      </w:tr>
    </w:tbl>
    <w:p/>
    <w:p>
      <w:pPr>
        <w:spacing w:before="280" w:after="80"/>
      </w:pPr>
      <w:r>
        <w:rPr>
          <w:rFonts w:ascii="Calibri" w:hAnsi="Calibri"/>
          <w:b/>
          <w:color w:val="1F3A60"/>
          <w:sz w:val="26"/>
        </w:rPr>
        <w:t>Question 3: Who are person acting in concert ? What are landmark case on it ?</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 Who are ‘Persons Acting in Concert’ under the SEBI Takeover Regulations?</w:t>
              <w:br/>
              <w:br/>
              <w:t>The concept of **“persons acting in concert”** is rooted in the Securities and Exchange Board of India (Substantial Acquisition of Shares and Takeovers) Regulations, 1997 (the **“Takeover Regulations”**). It captures situations where two or more individuals or entities coordinate their actions towards a common acquisition-related goal concerning a specific target company.</w:t>
              <w:br/>
              <w:br/>
              <w:t>The essential ingredients, drawn from judicial pronouncements and the recommendations of the Justice P. N. Bhagwati Committee, are:</w:t>
              <w:br/>
              <w:t>- **Shared common objective or purpose:** The parties must have a unified aim of substantial acquisition of shares, voting rights, or gaining control over a particular target company. [2]</w:t>
              <w:br/>
              <w:t>- **Target-company nexus:** The common objective must be directed at a specific target company; without a target company, the idea of acting in concert is meaningless. [2]</w:t>
              <w:br/>
              <w:t>- **“Bright line” tests:** The Bhagwati Committee, whose views shaped the expanded definition in the 1997 regulations, articulated that persons acting in concert must demonstrate **commonality of objectives** and a **community of interests** – for instance, acquiring shares or voting rights beyond the threshold limit, or gaining control, and the very act of acquisition must serve this common objective. [5]</w:t>
              <w:br/>
              <w:br/>
              <w:t>A person cannot be labelled as acting in concert merely because of a pre-existing relationship, such as being a co-promoter of the target company. The focus is on the shared purpose behind the acquisition, not the bare relationship. [1]</w:t>
              <w:br/>
              <w:br/>
              <w:t>### Landmark Cases</w:t>
              <w:br/>
              <w:br/>
              <w:t>The following are the key judicial authorities that have interpreted and shaped the understanding of ‘persons acting in concert’:</w:t>
              <w:br/>
              <w:br/>
              <w:t>1.  **SEBI v. Modi Rubber Ltd. (Bombay High Court)** – **[2002] 46 CLA 118 (Bom.)** [1]</w:t>
              <w:br/>
              <w:t xml:space="preserve">    - The Division Bench of the Bombay High Court examined whether one promoter of a target company (Modipon Ltd.) could be deemed to be acting in concert with the acquirer (another co-promoter) simply by virtue of its promoter status.</w:t>
              <w:br/>
              <w:t xml:space="preserve">    - **Held:** The mere fact that an entity is a promoter of the target company does not automatically make it a “person acting in concert” with the acquirer. What must be shown is that it **shares the common objective or purpose of the acquirer in the matter of substantial acquisition of shares/voting rights or gaining control**. In this case, since the promoter was selling its shares (contrary to the acquirer’s objective of buying), it did not share that common objective and was therefore not acting in concert. [1]</w:t>
              <w:br/>
              <w:br/>
              <w:t>2.  **Daiichi Sankyo Co. Ltd. v. Jayaram Chigurupati (Supreme Court)** – **[2010] 98 CLA 607 (SC)** [2]</w:t>
              <w:br/>
              <w:t xml:space="preserve">    - The Supreme Court provided the definitive interpretation of the phrase “persons acting in concert” under the Takeover Regulations.</w:t>
              <w:br/>
              <w:t xml:space="preserve">    - **Key observations:**</w:t>
              <w:br/>
              <w:t xml:space="preserve">        - The concept is based on a target company on one side, and two or more persons coming together with the **shared common objective or purpose of substantial acquisition of shares, etc., of that target company**.</w:t>
              <w:br/>
              <w:t xml:space="preserve">        - Unless there is a target company, substantial acquisition of whose shares is the common objective, there can be no “persons acting in concert”. De hors the target company, the idea is irrelevant.</w:t>
              <w:br/>
              <w:t xml:space="preserve">        - Even if two or more persons join hands for any other common purpose, they do not comprise “persons acting in concert” as long as that purpose is not the substantial acquisition of shares of a target company. [2]</w:t>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**Answer:** A “person acting in concert” (PAC) under Indian securities law means any person who, sharing a common objective to acquire shares/voting rights or gain control over a target company, co‑operates with another (formally or informally) toward that end. For SEBI’s Takeover Regulations, the definition is in Reg. 2(1)(q) of the SAST Regulations, 2011, which also lists 16 categories where persons are *deemed* to be acting in concert unless the contrary is proved. The two landmark cases are **Daiichi Sankyo Co. Ltd. *v.* Jayaram Chigurupati** [(2010) 98 CLA 607 (SC)] and **K.K. Modi *v.* SEBI** [[2002] 46 CLA 118 (Bom.) (DB)].</w:t>
              <w:br/>
              <w:br/>
              <w:t>---</w:t>
              <w:br/>
              <w:br/>
              <w:t>### 1. Statute – SEBI (Substantial Acquisition of Shares and Takeovers) Regulations, 2011</w:t>
              <w:br/>
              <w:br/>
              <w:t xml:space="preserve">**Definition of “persons acting in concert”** – Reg. 2(1)(q) [Sources 2, 3]  </w:t>
              <w:br/>
              <w:t xml:space="preserve">(1) **General definition:**  </w:t>
              <w:br/>
              <w:t>*“Persons who, with a common objective or purpose of acquisition of shares or voting rights in, or exercising control over a target company, pursuant to an agreement or understanding (formal or informal), directly or indirectly co‑operate for acquisition of shares or voting rights in, or exercise of control over the target company.”* [Source 2, 3]</w:t>
              <w:br/>
              <w:br/>
              <w:t xml:space="preserve">(2) **Deeming categories** (rebuttable presumption): Without prejudice to the above, the following persons are *deemed* to be acting in concert with other persons in the same category unless the contrary is established [Source 3]:  </w:t>
              <w:br/>
              <w:t xml:space="preserve">- A company, its holding company, subsidiary, and any company under the same management or control.  </w:t>
              <w:br/>
              <w:t xml:space="preserve">- A company, its directors, and any person entrusted with management.  </w:t>
              <w:br/>
              <w:t xml:space="preserve">- Directors of such companies and their associates.  </w:t>
              <w:br/>
              <w:t xml:space="preserve">- Promoters and members of the promoter group.  </w:t>
              <w:br/>
              <w:t xml:space="preserve">- Immediate relatives.  </w:t>
              <w:br/>
              <w:t xml:space="preserve">- A mutual fund, its sponsor, trustees, trustee company, and asset management company.  </w:t>
              <w:br/>
              <w:t xml:space="preserve">- A collective investment scheme and its management/trustees.  </w:t>
              <w:br/>
              <w:t xml:space="preserve">- A venture capital fund and its sponsor, trustees, trustee company, and asset management company.  </w:t>
              <w:br/>
              <w:t xml:space="preserve">- An alternative investment fund and its sponsor, trustees, trustee company, and manager.  </w:t>
              <w:br/>
              <w:t xml:space="preserve">- A merchant banker and its client (acquirer).  </w:t>
              <w:br/>
              <w:t xml:space="preserve">- A portfolio manager and its client (acquirer).  </w:t>
              <w:br/>
              <w:t xml:space="preserve">- Banks, financial advisors, and stock brokers of the acquirer or its holding/subsidiary, etc.  </w:t>
              <w:br/>
              <w:br/>
              <w:t>*(The same definition, mutatis mutandis, existed in the 1997 Regulations.)*</w:t>
              <w:br/>
              <w:br/>
              <w:t>**Key interpretive note from the definition itself:** The phrase “pursuant to an agreement or understanding (formal or informal)” and the “common objective or purpose” are the essential ingredients.</w:t>
              <w:br/>
              <w:br/>
              <w:t>**Insurance sector analogous definition:** IRDAI (Investment by Indian Insurance Companies) Guidelines, 2016 define “person acting in concert” similarly for acquisitions in insurers, including associate enterprise, relative, promoter, promoter group, and director. [Source 4]</w:t>
              <w:br/>
              <w:br/>
              <w:t>---</w:t>
              <w:br/>
              <w:br/>
              <w:t>### 2. Landmark Judgments</w:t>
              <w:br/>
              <w:br/>
              <w:t xml:space="preserve">#### (a) Daiichi Sankyo Co. Ltd. *v.* Jayaram Chigurupati – Supreme Court  </w:t>
              <w:br/>
              <w:t>Citation: (2010) 98 CLA 607 (SC) [Sources 6, 8]</w:t>
              <w:br/>
              <w:br/>
              <w:t xml:space="preserve">- **Held:** The “sine qua non” for PAC is a **shared common objective or purpose of substantial acquisition of shares of a target company**. Without a target company and that shared objective, the concept is irrelevant.  </w:t>
              <w:br/>
              <w:t xml:space="preserve">- The **deeming fiction** under sub‑clause (2) (the categorical presumptions) operates **prospectively**, not retrospectively. It raises a presumption only from the date the specified relationship comes into being, not from any earlier date.  </w:t>
              <w:br/>
              <w:t xml:space="preserve">- On the facts, since Ranbaxy became a subsidiary of Daiichi only on 20.10.2008, it could not be considered PAC for share purchases made by Ranbaxy in January 2008.  </w:t>
              <w:br/>
              <w:br/>
              <w:t xml:space="preserve">#### (b) K.K. Modi *v.* SEBI – Bombay High Court (Division Bench)  </w:t>
              <w:br/>
              <w:t>Citation: [2002] 46 CLA 118 (Bom.) [Source 5]</w:t>
              <w:br/>
              <w:br/>
              <w:t xml:space="preserve">- **Facts:** A co‑promoter of a target company offered shares in response to a public offer made by another co‑promoter/acquirer. SEBI argued it was acting in concert.  </w:t>
              <w:br/>
              <w:t xml:space="preserve">- **Held:** Mere common promoter status does **not** make a person an acquirer or PAC. The acquirer and the alleged PAC must share a **common objective or purpose** of substantial acquisition or gaining control. Here, the co‑promoter (Modipon Ltd.) intended to **sell** its shares to meet financial obligations, i.e., its objective was contrary to that of the acquirers. Therefore, it was not acting in concert.  </w:t>
              <w:br/>
              <w:t xml:space="preserve">- The court observed: “the mere fact that Modipon Ltd. is a promoter does not confer on it the status of an acquirer, or a person acting in concert with the acquirer.”  </w:t>
              <w:br/>
              <w:br/>
              <w:t>These two authorities have shaped the interpretation: PAC status requires a **concurrent, shared acquisition objective**; the deeming list only raises a rebuttable presumption, and it does not act retrospectively.</w:t>
              <w:br/>
              <w:br/>
              <w:t>---</w:t>
              <w:br/>
              <w:br/>
              <w:t>### 3. Expert Analysis / Commentary</w:t>
              <w:br/>
              <w:br/>
              <w:t xml:space="preserve">- **T.V. Narayanaswamy** (2004) 63 CLA (Mag.) 83 [Source 7] opines that the Takeover Regulations are silent on how a PAC can *cease* to be a PAC. The definition, expanded on the recommendation of the Justice P.N. Bhagwati Committee, emphasises “commonality of objectives and a community of interests” – the “bright line” test. The act of acquiring must serve that common objective.  </w:t>
              <w:br/>
              <w:br/>
              <w:t>---</w:t>
              <w:br/>
              <w:br/>
              <w:t>### Conclusion</w:t>
              <w:br/>
              <w:t>A person is a PAC if, with another, he shares a **common objective of substantial share acquisition or control over a target company** and co‑operates formally or informally toward that end. The status is not automatic even among promoters or listed categories; the</w:t>
            </w:r>
          </w:p>
        </w:tc>
      </w:tr>
    </w:tbl>
    <w:p/>
    <w:p>
      <w:pPr>
        <w:spacing w:before="280" w:after="80"/>
      </w:pPr>
      <w:r>
        <w:rPr>
          <w:rFonts w:ascii="Calibri" w:hAnsi="Calibri"/>
          <w:b/>
          <w:color w:val="1F3A60"/>
          <w:sz w:val="26"/>
        </w:rPr>
        <w:t>Question 4: Can promoters of a corporate debtor file application for insolvency resolution process against it? What are the recent judgments on it ?</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Based on the provided search context, I can clarify the legal position regarding the locus standi (legal standing) of promoters in the Corporate Insolvency Resolution Process (CIRP), particularly concerning their ability to challenge orders after the process has been initiated. The context does not provide explicit authority on whether a promoter can *file* the initial application to trigger the CIRP. However, it contains a recent, pertinent judgment on a promoter’s standing to challenge orders once the CIRP has commenced.</w:t>
              <w:br/>
              <w:br/>
              <w:t>### Analysis of Promoter’s Standing under the IBC</w:t>
              <w:br/>
              <w:br/>
              <w:t>The search results cite a very recent judgment from the National Company Law Appellate Tribunal (NCLAT) that directly addresses the standing of a promoter/shareholder in CIRP proceedings.</w:t>
              <w:br/>
              <w:br/>
              <w:t>-   **Locus Standi to Challenge an Admission Order**: The NCLAT in *Park Energy (P.) Ltd. v. State of Bank of India* [2025] has clearly held that a shareholder or promoter is **not** considered an "aggrieved person" under Section 61 of the Insolvency and Bankruptcy Code, 2016 (IBC) [2][4]. Consequently, a promoter has no legal standing (locus) to challenge an order of the NCLT that admits an application for initiating CIRP under Section 7 (filed by a financial creditor) or Section 9 (filed by an operational creditor) [2][4].</w:t>
              <w:br/>
              <w:br/>
              <w:t>-   **On Whose Behalf Can an Application be Filed**: The context from the same judgment clarifies the scheme of who may initiate the CIRP. As per Section 6 of the IBC, the process can be initiated by a financial creditor, an operational creditor, or the **corporate debtor itself** [2]. The law does not specify the promoter as a separate entity with the right to file such an application in their personal capacity.</w:t>
              <w:br/>
              <w:br/>
              <w:t>-   **Derivative Action Post-Admission**: Once the CIRP is initiated and an Interim Resolution Professional (IRP) or Resolution Professional (RP) is appointed, the management of the corporate debtor shifts. The NCLAT has ruled that following such an appointment, the RP assumes sole authority to represent the corporate debtor [4]. Therefore, a derivative action on behalf of the corporate debtor cannot be maintained by a promoter or even a majority shareholder. Their recourse is to approach the IRP/RP with their grievance, who will then decide whether to take appropriate legal remedy on behalf of the company [4]. This principle was also supported by a reference to a Delhi High Court judgment in *ICP Investments v. Uppal Housing* [4].</w:t>
              <w:br/>
              <w:br/>
              <w:t>In essence, while the provided texts do not affirmatively state that a promoter can file the original CIRP application, the recent case law definitively restricts their role after the process has begun. A promoter lacks the standing to challenge the admission of a CIRP application and cannot pursue derivative legal actions on behalf of the corporate debtor, as that authority rests solely with the appointed resolution professional.</w:t>
              <w:br/>
              <w:br/>
              <w:t>### Summary of the Recent Judgment</w:t>
              <w:br/>
              <w:br/>
              <w:t>| Case Name | Citation | Key Holding on Promoter’s Standing |</w:t>
              <w:br/>
              <w:t>| :--- | :--- | :--- |</w:t>
              <w:br/>
              <w:t>| Park Energy (P.) Ltd. v. State of Bank of India | [2025] 188 CLA 261 (NCLAT) | A shareholder/promoter does not fall within the definition of an "aggrieved person" under Section 61 of the IBC and has **no locus to challenge the order of admission** of a Section 7 or Section 9 application [2][4]. |</w:t>
              <w:br/>
              <w:br/>
              <w:t>I could not find authority in the provided context on whether a promoter can file the initial application for initiating the CIRP against the corporate debtor. The documents primarily address the promoter's standing after the CIRP has been admitted.</w:t>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Yes, a corporate debtor can initiate its own insolvency resolution process, and the promoters (as shareholders) can vote to approve this decision. However, a promoter in their personal capacity cannot file a CIRP application; the application is made by the corporate debtor itself. Once admitted, a promoter/shareholder cannot challenge the admission order.</w:t>
              <w:br/>
              <w:br/>
              <w:t>**Statute**</w:t>
              <w:br/>
              <w:br/>
              <w:t>*   **Section 10 of the Insolvency and Bankruptcy Code, 2016** allows a "corporate applicant" to file an application for initiating a CIRP against its own corporate debtor entity where a default has occurred. The application must be accompanied by a special resolution passed by the shareholders of the corporate debtor, which would include its promoters, approving the filing of the application [Source 3].</w:t>
              <w:br/>
              <w:t>*   **Section 6 of the IBC** clarifies the three categories of persons who may initiate a CIRP: a financial creditor, an operational creditor, or the corporate debtor itself [Source 2].</w:t>
              <w:br/>
              <w:br/>
              <w:t>**Case Law**</w:t>
              <w:br/>
              <w:br/>
              <w:t>*   **Park Energy (P.) Ltd. v. State Bank of India [2025] 188 CLA 261 (NCLAT)** : This is the most recent and directly relevant judgment on the locus of a promoter. The NCLAT held that a shareholder/promoter does not fall within the ambit of an "aggrieved person" as provided under Section 61 of the IBC and, consequently, has no locus standi to challenge the order of admission of a Section 7 or Section 9 application filed by a creditor [Source 7, 9].</w:t>
              <w:br/>
              <w:t>*   **Independent Sugar Corporation Ltd. v. Girish Sriram Juneja and Others [2025] 184 CLA 214 (SC)** : While this case pertains to the interpretation of "any person aggrieved" under Section 62 of the IBC in the context of appeals to the Supreme Court, the Supreme Court held that the term must be understood widely and not in a restricted fashion. It noted that once a CIRP is initiated, proceedings become *in rem*, indicating that there are no rigid *locus* requirements for an appeal [Source 5, 6]. The question of whether this broader interpretation by the Supreme Court on appeal rights under Section 62 would affect the NCLAT's stricter stance on a promoter's right to challenge an admission order under Section 61 is currently unresolved.</w:t>
              <w:br/>
              <w:br/>
              <w:t>**Conclusion**</w:t>
              <w:br/>
              <w:br/>
              <w:t>A corporate debtor entity, through a special resolution passed by its shareholders (which includes its promoters), can file an insolvency application against itself under Section 10 of the IBC. However, promoters, in their personal capacity as shareholders, are not considered "aggrieved persons" and cannot challenge the admission of a CIRP application filed by a creditor.</w:t>
              <w:br/>
              <w:br/>
              <w:t>**Sources**</w:t>
              <w:br/>
              <w:t>*   Insolvency and Bankruptcy Code, 2016 (Sections 6, 10) [Source 2, 3].</w:t>
              <w:br/>
              <w:t>*   *Park Energy (P.) Ltd. v. State Bank of India*, [2025] 188 CLA 261 (NCLAT) [Source 7].</w:t>
              <w:br/>
              <w:t>*   *Independent Sugar Corporation Ltd. v. Girish Sriram Juneja and Others*, [2025] 184 CLA 214 (SC) [Source 5, 6].</w:t>
              <w:br/>
              <w:br/>
              <w:t>This is legal research, not legal advice. Please verify against the primary source.</w:t>
            </w:r>
          </w:p>
        </w:tc>
      </w:tr>
    </w:tbl>
    <w:p/>
    <w:p>
      <w:pPr>
        <w:spacing w:before="280" w:after="80"/>
      </w:pPr>
      <w:r>
        <w:rPr>
          <w:rFonts w:ascii="Calibri" w:hAnsi="Calibri"/>
          <w:b/>
          <w:color w:val="1F3A60"/>
          <w:sz w:val="26"/>
        </w:rPr>
        <w:t>Question 5: What are the liabilities of directors of a company in case of dishonour of cheque issued during moratorium ?</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 Directors' Liability for Dishonoured Cheques During Moratorium</w:t>
              <w:br/>
              <w:br/>
              <w:t>The moratorium declared under **Section 13 of the Insolvency and Bankruptcy Code, 2016 (IBC)** is a statutory bar on proceedings against the corporate debtor itself. It is personal to the company and does not automatically extinguish the personal liability of its directors or officers under other statutes. [1]</w:t>
              <w:br/>
              <w:br/>
              <w:t>#### The Specific Case of Dishonour of a Cheque</w:t>
              <w:br/>
              <w:t>Where a cheque is issued by the corporate debtor **before the declaration of moratorium** but is **dishonoured after such declaration**, the situation is covered by **Section 138 of the Negotiable Instruments Act, 1881 (NI Act)**. In such an event, the corporate debtor itself is liable for the dishonour. [2]</w:t>
              <w:br/>
              <w:br/>
              <w:t>However, **Section 141 of the NI Act** imposes a vicarious personal liability on:</w:t>
              <w:br/>
              <w:t>- The **person who signed the cheque**, and</w:t>
              <w:br/>
              <w:t>- The **directors of the company** who were in charge of and responsible for the day-to-day affairs of the company at the relevant time.</w:t>
              <w:br/>
              <w:br/>
              <w:t>This liability is independent of the corporate debtor's liability. [2]</w:t>
              <w:br/>
              <w:br/>
              <w:t>#### The Effect of the Moratorium</w:t>
              <w:br/>
              <w:t>- The moratorium is a shield only for the corporate debtor. It does **not** absolve directors or other officers from liabilities that have been **personally fastened on them** by a statute like the NI Act. [2] [3]</w:t>
              <w:br/>
              <w:t>- Because the director’s liability under Section 141 is **personal and independent**, a moratorium under Section 14 of the IBC has **no effect** on it. The payee of the dishonoured cheque is free to proceed against such directors for recovery. [2]</w:t>
              <w:br/>
              <w:t>- After liquidating the liability, the director may seek reimbursement from the corporate debtor and would then be considered a creditor of the corporate debtor in the insolvency process. [2]</w:t>
              <w:br/>
              <w:br/>
              <w:t>This position is supported by the Supreme Court’s decision in ***Ansal Crown Heights Flat Buyers Association v. Ansal Crown Infrabuild (P.) Ltd.*** [2024] 180 CLA</w:t>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I could not find authority on this in the CLAOnline database. Please try rephrasing or narrowing your question.</w:t>
            </w:r>
          </w:p>
        </w:tc>
      </w:tr>
    </w:tbl>
    <w:p/>
    <w:p>
      <w:pPr>
        <w:spacing w:before="280" w:after="80"/>
      </w:pPr>
      <w:r>
        <w:rPr>
          <w:rFonts w:ascii="Calibri" w:hAnsi="Calibri"/>
          <w:b/>
          <w:color w:val="1F3A60"/>
          <w:sz w:val="26"/>
        </w:rPr>
        <w:t>Question 6: The board wants to sell off one idle property of the company that earns no revenue. Do we still need a special resolution under section 180 or is that only when you're selling the whole undertaking?</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[Error Code 504]: &lt;html&gt;</w:t>
              <w:br/>
              <w:br/>
              <w:t>&lt;head&gt;&lt;title&gt;504 Gateway Time-out&lt;/title&gt;&lt;/head&gt;</w:t>
              <w:br/>
              <w:br/>
              <w:t>&lt;body&gt;</w:t>
              <w:br/>
              <w:br/>
              <w:t>&lt;center&gt;&lt;h1&gt;504 Gateway Time-out&lt;/h1&gt;&lt;/center&gt;</w:t>
              <w:br/>
              <w:br/>
              <w:t>&lt;hr&gt;&lt;center&gt;nginx/1.28.3 (Ubuntu)&lt;/center&gt;</w:t>
              <w:br/>
              <w:br/>
              <w:t>&lt;/body&gt;</w:t>
              <w:br/>
              <w:br/>
              <w:t>&lt;/html&gt;</w:t>
              <w:br/>
              <w:br/>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I could not find authority on this in the CLAOnline database. Please try rephrasing or narrowing your question.</w:t>
            </w:r>
          </w:p>
        </w:tc>
      </w:tr>
    </w:tbl>
    <w:p/>
    <w:p>
      <w:pPr>
        <w:spacing w:before="280" w:after="80"/>
      </w:pPr>
      <w:r>
        <w:rPr>
          <w:rFonts w:ascii="Calibri" w:hAnsi="Calibri"/>
          <w:b/>
          <w:color w:val="1F3A60"/>
          <w:sz w:val="26"/>
        </w:rPr>
        <w:t>Question 7: Unlisted public co’s shareholders are trying to transfer shares that were never dematerialised. Can we as a company’s board reject it?</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[Error Code 500]: {"error":"Failed to search legal documents database."}</w:t>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I could not find authority on this in the CLAOnline database. Please try rephrasing or narrowing your question.</w:t>
            </w:r>
          </w:p>
        </w:tc>
      </w:tr>
    </w:tbl>
    <w:p/>
    <w:p>
      <w:pPr>
        <w:spacing w:before="280" w:after="80"/>
      </w:pPr>
      <w:r>
        <w:rPr>
          <w:rFonts w:ascii="Calibri" w:hAnsi="Calibri"/>
          <w:b/>
          <w:color w:val="1F3A60"/>
          <w:sz w:val="26"/>
        </w:rPr>
        <w:t>Question 8: Client wants to write off accumulated losses against securities premium and cut the paid-up value of equity and pref shares, all as one scheme. Can that ride on section 230 or does it have to go through s.66?</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[Error Code 504]: &lt;html&gt;</w:t>
              <w:br/>
              <w:br/>
              <w:t>&lt;head&gt;&lt;title&gt;504 Gateway Time-out&lt;/title&gt;&lt;/head&gt;</w:t>
              <w:br/>
              <w:br/>
              <w:t>&lt;body&gt;</w:t>
              <w:br/>
              <w:br/>
              <w:t>&lt;center&gt;&lt;h1&gt;504 Gateway Time-out&lt;/h1&gt;&lt;/center&gt;</w:t>
              <w:br/>
              <w:br/>
              <w:t>&lt;hr&gt;&lt;center&gt;nginx/1.28.3 (Ubuntu)&lt;/center&gt;</w:t>
              <w:br/>
              <w:br/>
              <w:t>&lt;/body&gt;</w:t>
              <w:br/>
              <w:br/>
              <w:t>&lt;/html&gt;</w:t>
              <w:br/>
              <w:br/>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I could not find authority on this in the CLAOnline database. Please try rephrasing or narrowing your question.</w:t>
            </w:r>
          </w:p>
        </w:tc>
      </w:tr>
    </w:tbl>
    <w:p/>
    <w:p>
      <w:pPr>
        <w:spacing w:before="280" w:after="80"/>
      </w:pPr>
      <w:r>
        <w:rPr>
          <w:rFonts w:ascii="Calibri" w:hAnsi="Calibri"/>
          <w:b/>
          <w:color w:val="1F3A60"/>
          <w:sz w:val="26"/>
        </w:rPr>
        <w:t>Question 9: HC quashed my client's cheque-bounce complaint before summoning saying no debt was shown, but presentation, dishonour and notice were all done. Can HC do that?</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[Error Code 500]: {"error":"Failed to search legal documents database."}</w:t>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I could not find authority on this in the CLAOnline database. Please try rephrasing or narrowing your question.</w:t>
            </w:r>
          </w:p>
        </w:tc>
      </w:tr>
    </w:tbl>
    <w:p/>
    <w:p>
      <w:pPr>
        <w:spacing w:before="280" w:after="80"/>
      </w:pPr>
      <w:r>
        <w:rPr>
          <w:rFonts w:ascii="Calibri" w:hAnsi="Calibri"/>
          <w:b/>
          <w:color w:val="1F3A60"/>
          <w:sz w:val="26"/>
        </w:rPr>
        <w:t>Question 10: Ex-MD quit but is still sitting on company laptops and records. Can we prosecute her even with no formal "entrustment" on record?</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[Error Code 500]: {"error":"Failed to search legal documents database."}</w:t>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I could not find authority on this in the CLAOnline database. Please try rephrasing or narrowing your question.</w:t>
            </w:r>
          </w:p>
        </w:tc>
      </w:tr>
    </w:tbl>
    <w:p/>
    <w:p>
      <w:pPr>
        <w:spacing w:before="280" w:after="80"/>
      </w:pPr>
      <w:r>
        <w:rPr>
          <w:rFonts w:ascii="Calibri" w:hAnsi="Calibri"/>
          <w:b/>
          <w:color w:val="1F3A60"/>
          <w:sz w:val="26"/>
        </w:rPr>
        <w:t>Question 11: Our multi-state co-op society invested in a company now in CIRP. RP says we're not in the "same line of business". Is that read off our bye-laws or off actual turnover and profit?</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Goodbye! It was a pleasure assisting you. If you need help with Indian corporate law or compliance in the future, I'll be here to assist.</w:t>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Goodbye! It was a pleasure assisting you. If you need help with Indian corporate law or compliance in the future, I'll be here to assist.</w:t>
            </w:r>
          </w:p>
        </w:tc>
      </w:tr>
    </w:tbl>
    <w:p/>
    <w:p>
      <w:pPr>
        <w:spacing w:before="280" w:after="80"/>
      </w:pPr>
      <w:r>
        <w:rPr>
          <w:rFonts w:ascii="Calibri" w:hAnsi="Calibri"/>
          <w:b/>
          <w:color w:val="1F3A60"/>
          <w:sz w:val="26"/>
        </w:rPr>
        <w:t>Question 12: Bank's filed s.7 against the company and the guarantor at the same time. Can they run both together or does the election bar it?</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[Error Code 500]: {"error":"Failed to search legal documents database."}</w:t>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I could not find authority on this in the CLAOnline database. Please try rephrasing or narrowing your question.</w:t>
            </w:r>
          </w:p>
        </w:tc>
      </w:tr>
    </w:tbl>
    <w:p/>
    <w:p>
      <w:pPr>
        <w:spacing w:before="280" w:after="80"/>
      </w:pPr>
      <w:r>
        <w:rPr>
          <w:rFonts w:ascii="Calibri" w:hAnsi="Calibri"/>
          <w:b/>
          <w:color w:val="1F3A60"/>
          <w:sz w:val="26"/>
        </w:rPr>
        <w:t>Question 13: The company has been resolved and the plan's approved. The old promoter now wants to challenge it in the SC. Does he even have locus as an aggrieved person?</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[Error Code 500]: {"error":"Failed to search legal documents database."}</w:t>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I could not find authority on this in the CLAOnline database. Please try rephrasing or narrowing your question.</w:t>
            </w:r>
          </w:p>
        </w:tc>
      </w:tr>
    </w:tbl>
    <w:p/>
    <w:p>
      <w:pPr>
        <w:spacing w:before="280" w:after="80"/>
      </w:pPr>
      <w:r>
        <w:rPr>
          <w:rFonts w:ascii="Calibri" w:hAnsi="Calibri"/>
          <w:b/>
          <w:color w:val="1F3A60"/>
          <w:sz w:val="26"/>
        </w:rPr>
        <w:t>Question 14: Unlisted co wants to buy back some shares. What resolution do we need u/s 68, and is there anything in law that could block it?</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[Error Code 504]: &lt;html&gt;</w:t>
              <w:br/>
              <w:br/>
              <w:t>&lt;head&gt;&lt;title&gt;504 Gateway Time-out&lt;/title&gt;&lt;/head&gt;</w:t>
              <w:br/>
              <w:br/>
              <w:t>&lt;body&gt;</w:t>
              <w:br/>
              <w:br/>
              <w:t>&lt;center&gt;&lt;h1&gt;504 Gateway Time-out&lt;/h1&gt;&lt;/center&gt;</w:t>
              <w:br/>
              <w:br/>
              <w:t>&lt;hr&gt;&lt;center&gt;nginx/1.28.3 (Ubuntu)&lt;/center&gt;</w:t>
              <w:br/>
              <w:br/>
              <w:t>&lt;/body&gt;</w:t>
              <w:br/>
              <w:br/>
              <w:t>&lt;/html&gt;</w:t>
              <w:br/>
              <w:br/>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I could not find authority on this in the CLAOnline database. Please try rephrasing or narrowing your question.</w:t>
            </w:r>
          </w:p>
        </w:tc>
      </w:tr>
    </w:tbl>
    <w:p/>
    <w:p>
      <w:pPr>
        <w:spacing w:before="280" w:after="80"/>
      </w:pPr>
      <w:r>
        <w:rPr>
          <w:rFonts w:ascii="Calibri" w:hAnsi="Calibri"/>
          <w:b/>
          <w:color w:val="1F3A60"/>
          <w:sz w:val="26"/>
        </w:rPr>
        <w:t>Question 15: Is New Development Bank a "body corporate" as defined under Companies Act?</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[Error Code 500]: {"error":"Failed to search legal documents database."}</w:t>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I could not find authority on this in the CLAOnline database. Please try rephrasing or narrowing your question.</w:t>
            </w:r>
          </w:p>
        </w:tc>
      </w:tr>
    </w:tbl>
    <w:p/>
    <w:p>
      <w:pPr>
        <w:spacing w:before="280" w:after="80"/>
      </w:pPr>
      <w:r>
        <w:rPr>
          <w:rFonts w:ascii="Calibri" w:hAnsi="Calibri"/>
          <w:b/>
          <w:color w:val="1F3A60"/>
          <w:sz w:val="26"/>
        </w:rPr>
        <w:t>Question 16: Missed the DPT-3 due date for FY ending March 2026. Till when can we file without the extra additional fee?</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[Error Code 500]: {"error":"Failed to search legal documents database."}</w:t>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I could not find authority on this in the CLAOnline database. Please try rephrasing or narrowing your question.</w:t>
            </w:r>
          </w:p>
        </w:tc>
      </w:tr>
    </w:tbl>
    <w:p/>
    <w:p>
      <w:pPr>
        <w:spacing w:before="280" w:after="80"/>
      </w:pPr>
      <w:r>
        <w:rPr>
          <w:rFonts w:ascii="Calibri" w:hAnsi="Calibri"/>
          <w:b/>
          <w:color w:val="1F3A60"/>
          <w:sz w:val="26"/>
        </w:rPr>
        <w:t>Question 17: Are preference shareholders creditors of the company, or members? And does the redemption angle change how you treat them?</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[Error Code 500]: {"error":"Failed to search legal documents database."}</w:t>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I could not find authority on this in the CLAOnline database. Please try rephrasing or narrowing your question.</w:t>
            </w:r>
          </w:p>
        </w:tc>
      </w:tr>
    </w:tbl>
    <w:p/>
    <w:p>
      <w:pPr>
        <w:spacing w:before="280" w:after="80"/>
      </w:pPr>
      <w:r>
        <w:rPr>
          <w:rFonts w:ascii="Calibri" w:hAnsi="Calibri"/>
          <w:b/>
          <w:color w:val="1F3A60"/>
          <w:sz w:val="26"/>
        </w:rPr>
        <w:t>Question 18: What's the sectoral cap for the insurance sector and is it an automatic route under the current FDI policy?</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[Error Code 500]: {"error":"Failed to search legal documents database."}</w:t>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I could not find authority on this in the CLAOnline database. Please try rephrasing or narrowing your question.</w:t>
            </w:r>
          </w:p>
        </w:tc>
      </w:tr>
    </w:tbl>
    <w:p/>
    <w:p>
      <w:pPr>
        <w:spacing w:before="280" w:after="80"/>
      </w:pPr>
      <w:r>
        <w:rPr>
          <w:rFonts w:ascii="Calibri" w:hAnsi="Calibri"/>
          <w:b/>
          <w:color w:val="1F3A60"/>
          <w:sz w:val="26"/>
        </w:rPr>
        <w:t>Question 19: Client is an FPI wanting to put money into government securities. Please tell me the framework for this.</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[Error Code 500]: {"error":"Failed to search legal documents database."}</w:t>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I could not find authority on this in the CLAOnline database. Please try rephrasing or narrowing your question.</w:t>
            </w:r>
          </w:p>
        </w:tc>
      </w:tr>
    </w:tbl>
    <w:p/>
    <w:p>
      <w:pPr>
        <w:spacing w:before="280" w:after="80"/>
      </w:pPr>
      <w:r>
        <w:rPr>
          <w:rFonts w:ascii="Calibri" w:hAnsi="Calibri"/>
          <w:b/>
          <w:color w:val="1F3A60"/>
          <w:sz w:val="26"/>
        </w:rPr>
        <w:t>Question 20: The company announced a stock split and there was some trading just before it. Is a stock split even UPSI for insider-trading purposes?</w:t>
      </w:r>
    </w:p>
    <w:p>
      <w:pPr>
        <w:spacing w:before="80" w:after="40"/>
      </w:pPr>
      <w:r>
        <w:rPr>
          <w:rFonts w:ascii="Calibri" w:hAnsi="Calibri"/>
          <w:b/>
          <w:color w:val="C53030"/>
          <w:sz w:val="22"/>
        </w:rPr>
        <w:t>BEFORE (Deployed Version - https://claonline.analytx4t.com):</w:t>
      </w:r>
    </w:p>
    <w:tbl>
      <w:tblPr>
        <w:tblW w:type="auto" w:w="0"/>
        <w:jc w:val="center"/>
        <w:tblLook w:firstColumn="1" w:firstRow="1" w:lastColumn="0" w:lastRow="0" w:noHBand="0" w:noVBand="1" w:val="04A0"/>
      </w:tblPr>
      <w:tblGrid>
        <w:gridCol w:w="9936"/>
      </w:tblGrid>
      <w:tr>
        <w:tc>
          <w:tcPr>
            <w:tcW w:type="dxa" w:w="9792"/>
            <w:shd w:val="clear" w:color="auto" w:fill="FFF5F5"/>
          </w:tcPr>
          <w:p>
            <w:r>
              <w:rPr>
                <w:rFonts w:ascii="Calibri" w:hAnsi="Calibri"/>
                <w:sz w:val="20"/>
              </w:rPr>
              <w:t>[Error Code 500]: {"error":"Failed to search legal documents database."}</w:t>
            </w:r>
          </w:p>
        </w:tc>
      </w:tr>
    </w:tbl>
    <w:p/>
    <w:p>
      <w:pPr>
        <w:spacing w:before="80" w:after="40"/>
      </w:pPr>
      <w:r>
        <w:rPr>
          <w:rFonts w:ascii="Calibri" w:hAnsi="Calibri"/>
          <w:b/>
          <w:color w:val="22543D"/>
          <w:sz w:val="22"/>
        </w:rPr>
        <w:t>AFTER (New Version - Prompts FINALv2 &amp; Legal Ontology Engine):</w:t>
      </w:r>
    </w:p>
    <w:tbl>
      <w:tblPr>
        <w:tblW w:type="auto" w:w="0"/>
        <w:jc w:val="center"/>
        <w:tblLook w:firstColumn="1" w:firstRow="1" w:lastColumn="0" w:lastRow="0" w:noHBand="0" w:noVBand="1" w:val="04A0"/>
      </w:tblPr>
      <w:tblGrid>
        <w:gridCol w:w="9936"/>
      </w:tblGrid>
      <w:tr>
        <w:tc>
          <w:tcPr>
            <w:tcW w:type="dxa" w:w="9792"/>
            <w:shd w:val="clear" w:color="auto" w:fill="F0FFF4"/>
          </w:tcPr>
          <w:p>
            <w:r>
              <w:rPr>
                <w:rFonts w:ascii="Calibri" w:hAnsi="Calibri"/>
                <w:sz w:val="20"/>
              </w:rPr>
              <w:t>I could not find authority on this in the CLAOnline database. Please try rephrasing or narrowing your question.</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