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45D28" w:rsidRDefault="00F445B9">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Can someone be considered to have control over a listed company even if they own much less than 50% of its shares? What kind of rights would be enough to give them control?</w:t>
      </w:r>
    </w:p>
    <w:p w14:paraId="00000002" w14:textId="77777777" w:rsidR="00145D28" w:rsidRDefault="00F445B9">
      <w:pPr>
        <w:rPr>
          <w:rFonts w:ascii="Times New Roman" w:eastAsia="Times New Roman" w:hAnsi="Times New Roman" w:cs="Times New Roman"/>
          <w:b/>
          <w:bCs/>
        </w:rPr>
      </w:pPr>
      <w:r>
        <w:rPr>
          <w:rFonts w:ascii="Times New Roman" w:eastAsia="Times New Roman" w:hAnsi="Times New Roman" w:cs="Times New Roman"/>
          <w:b/>
          <w:bCs/>
        </w:rPr>
        <w:t>Overview</w:t>
      </w:r>
    </w:p>
    <w:p w14:paraId="00000003" w14:textId="77777777" w:rsidR="00145D28" w:rsidRDefault="00F445B9">
      <w:pPr>
        <w:rPr>
          <w:rFonts w:ascii="Times New Roman" w:eastAsia="Times New Roman" w:hAnsi="Times New Roman" w:cs="Times New Roman"/>
        </w:rPr>
      </w:pPr>
      <w:r>
        <w:rPr>
          <w:rFonts w:ascii="Times New Roman" w:eastAsia="Times New Roman" w:hAnsi="Times New Roman" w:cs="Times New Roman"/>
        </w:rPr>
        <w:t xml:space="preserve">The concept of “control” is important under the </w:t>
      </w:r>
      <w:r>
        <w:rPr>
          <w:rFonts w:ascii="Times New Roman" w:eastAsia="Times New Roman" w:hAnsi="Times New Roman" w:cs="Times New Roman"/>
          <w:b/>
          <w:bCs/>
        </w:rPr>
        <w:t>Companies Act, 2013</w:t>
      </w:r>
      <w:r>
        <w:rPr>
          <w:rFonts w:ascii="Times New Roman" w:eastAsia="Times New Roman" w:hAnsi="Times New Roman" w:cs="Times New Roman"/>
        </w:rPr>
        <w:t xml:space="preserve"> and, for listed companies, the </w:t>
      </w:r>
      <w:r>
        <w:rPr>
          <w:rFonts w:ascii="Times New Roman" w:eastAsia="Times New Roman" w:hAnsi="Times New Roman" w:cs="Times New Roman"/>
          <w:b/>
          <w:bCs/>
        </w:rPr>
        <w:t>SEBI (Substantial Acquisition of Shares and Takeovers) Regulations, 2011 (“SAST Regulations”)</w:t>
      </w:r>
      <w:r>
        <w:rPr>
          <w:rFonts w:ascii="Times New Roman" w:eastAsia="Times New Roman" w:hAnsi="Times New Roman" w:cs="Times New Roman"/>
        </w:rPr>
        <w:t xml:space="preserve">. Section </w:t>
      </w:r>
      <w:r>
        <w:rPr>
          <w:rFonts w:ascii="Times New Roman" w:eastAsia="Times New Roman" w:hAnsi="Times New Roman" w:cs="Times New Roman"/>
          <w:b/>
          <w:bCs/>
        </w:rPr>
        <w:t xml:space="preserve">2(27) </w:t>
      </w:r>
      <w:r>
        <w:rPr>
          <w:rFonts w:ascii="Times New Roman" w:eastAsia="Times New Roman" w:hAnsi="Times New Roman" w:cs="Times New Roman"/>
        </w:rPr>
        <w:t xml:space="preserve">of the Companies Act and </w:t>
      </w:r>
      <w:r>
        <w:rPr>
          <w:rFonts w:ascii="Times New Roman" w:eastAsia="Times New Roman" w:hAnsi="Times New Roman" w:cs="Times New Roman"/>
          <w:b/>
          <w:bCs/>
        </w:rPr>
        <w:t>Regulation 2(1)(e)</w:t>
      </w:r>
      <w:r>
        <w:rPr>
          <w:rFonts w:ascii="Times New Roman" w:eastAsia="Times New Roman" w:hAnsi="Times New Roman" w:cs="Times New Roman"/>
        </w:rPr>
        <w:t xml:space="preserve"> of the SAST Regulations define control broadly to include the ability to appoint directors or control management or policy decisions. Thus, control may arise through shareholding, voting rights, management rights or contractual arrangements, rather than shareholding percentage alone.</w:t>
      </w:r>
    </w:p>
    <w:p w14:paraId="00000004" w14:textId="77777777" w:rsidR="00145D28" w:rsidRDefault="00F445B9">
      <w:pPr>
        <w:rPr>
          <w:rFonts w:ascii="Times New Roman" w:eastAsia="Times New Roman" w:hAnsi="Times New Roman" w:cs="Times New Roman"/>
          <w:b/>
          <w:bCs/>
        </w:rPr>
      </w:pPr>
      <w:r>
        <w:rPr>
          <w:rFonts w:ascii="Times New Roman" w:eastAsia="Times New Roman" w:hAnsi="Times New Roman" w:cs="Times New Roman"/>
          <w:b/>
          <w:bCs/>
        </w:rPr>
        <w:t>Analysis</w:t>
      </w:r>
    </w:p>
    <w:p w14:paraId="00000005" w14:textId="77777777" w:rsidR="00145D28" w:rsidRDefault="00F445B9">
      <w:pPr>
        <w:rPr>
          <w:rFonts w:ascii="Times New Roman" w:eastAsia="Times New Roman" w:hAnsi="Times New Roman" w:cs="Times New Roman"/>
          <w:b/>
          <w:bCs/>
        </w:rPr>
      </w:pPr>
      <w:r>
        <w:rPr>
          <w:rFonts w:ascii="Times New Roman" w:eastAsia="Times New Roman" w:hAnsi="Times New Roman" w:cs="Times New Roman"/>
          <w:b/>
          <w:bCs/>
        </w:rPr>
        <w:t>1. Control does not necessarily require majority shareholding</w:t>
      </w:r>
    </w:p>
    <w:p w14:paraId="784B3A42" w14:textId="77777777" w:rsidR="005B02E7" w:rsidRPr="005B02E7" w:rsidRDefault="005B02E7" w:rsidP="005B02E7">
      <w:pPr>
        <w:rPr>
          <w:rFonts w:ascii="Times New Roman" w:eastAsia="Times New Roman" w:hAnsi="Times New Roman" w:cs="Times New Roman"/>
        </w:rPr>
      </w:pPr>
      <w:r w:rsidRPr="005B02E7">
        <w:rPr>
          <w:rFonts w:ascii="Times New Roman" w:eastAsia="Times New Roman" w:hAnsi="Times New Roman" w:cs="Times New Roman"/>
          <w:b/>
          <w:bCs/>
        </w:rPr>
        <w:t>Section 2(27) of the Companies Act, 2013</w:t>
      </w:r>
      <w:r w:rsidRPr="005B02E7">
        <w:rPr>
          <w:rFonts w:ascii="Times New Roman" w:eastAsia="Times New Roman" w:hAnsi="Times New Roman" w:cs="Times New Roman"/>
        </w:rPr>
        <w:t xml:space="preserve"> defines “control” to include the right to appoint a majority of the directors or the ability to control the management or policy decisions of a company, directly or indirectly, through shareholding, management rights, shareholders’ agreements, voting agreements or otherwise. The definition under </w:t>
      </w:r>
      <w:r w:rsidRPr="005B02E7">
        <w:rPr>
          <w:rFonts w:ascii="Times New Roman" w:eastAsia="Times New Roman" w:hAnsi="Times New Roman" w:cs="Times New Roman"/>
          <w:b/>
          <w:bCs/>
        </w:rPr>
        <w:t>Regulation 2(1)(e) of the SEBI (Substantial Acquisition of Shares and Takeovers) Regulations, 2011 (“SAST Regulations”)</w:t>
      </w:r>
      <w:r w:rsidRPr="005B02E7">
        <w:rPr>
          <w:rFonts w:ascii="Times New Roman" w:eastAsia="Times New Roman" w:hAnsi="Times New Roman" w:cs="Times New Roman"/>
        </w:rPr>
        <w:t xml:space="preserve"> is substantially similar and likewise covers the ability to control management or policy decisions through shareholding, management rights, shareholders’ agreements, voting agreements or other arrangements. Since the present question concerns a listed company, the SAST Regulations are therefore directly relevant.</w:t>
      </w:r>
    </w:p>
    <w:p w14:paraId="7906FB7F" w14:textId="77777777" w:rsidR="005B02E7" w:rsidRPr="005B02E7" w:rsidRDefault="005B02E7" w:rsidP="005B02E7">
      <w:pPr>
        <w:rPr>
          <w:rFonts w:ascii="Times New Roman" w:eastAsia="Times New Roman" w:hAnsi="Times New Roman" w:cs="Times New Roman"/>
        </w:rPr>
      </w:pPr>
      <w:r w:rsidRPr="005B02E7">
        <w:rPr>
          <w:rFonts w:ascii="Times New Roman" w:eastAsia="Times New Roman" w:hAnsi="Times New Roman" w:cs="Times New Roman"/>
        </w:rPr>
        <w:t>Therefore, 50% ownership is not a fixed threshold for determining control. The relevant question is whether the person's rights give them the ability to influence or determine how the company is managed or how important policy decisions are made.</w:t>
      </w:r>
    </w:p>
    <w:p w14:paraId="1BEB2B5A" w14:textId="7264B0AF" w:rsidR="005B02E7" w:rsidRPr="005B02E7" w:rsidRDefault="005B02E7" w:rsidP="005B02E7">
      <w:pPr>
        <w:rPr>
          <w:rFonts w:ascii="Times New Roman" w:eastAsia="Times New Roman" w:hAnsi="Times New Roman" w:cs="Times New Roman"/>
        </w:rPr>
      </w:pPr>
      <w:r w:rsidRPr="005B02E7">
        <w:rPr>
          <w:rFonts w:ascii="Times New Roman" w:eastAsia="Times New Roman" w:hAnsi="Times New Roman" w:cs="Times New Roman"/>
        </w:rPr>
        <w:t xml:space="preserve">This gives us a clean foundation for </w:t>
      </w:r>
      <w:r w:rsidRPr="005B02E7">
        <w:rPr>
          <w:rFonts w:ascii="Times New Roman" w:eastAsia="Times New Roman" w:hAnsi="Times New Roman" w:cs="Times New Roman"/>
          <w:b/>
          <w:bCs/>
        </w:rPr>
        <w:t>Section 2</w:t>
      </w:r>
      <w:r w:rsidRPr="005B02E7">
        <w:rPr>
          <w:rFonts w:ascii="Times New Roman" w:eastAsia="Times New Roman" w:hAnsi="Times New Roman" w:cs="Times New Roman"/>
        </w:rPr>
        <w:t>, where we can then examine whether the specific rights of the 18% investor</w:t>
      </w:r>
      <w:r>
        <w:rPr>
          <w:rFonts w:ascii="Times New Roman" w:eastAsia="Times New Roman" w:hAnsi="Times New Roman" w:cs="Times New Roman"/>
        </w:rPr>
        <w:t xml:space="preserve"> </w:t>
      </w:r>
      <w:r w:rsidRPr="005B02E7">
        <w:rPr>
          <w:rFonts w:ascii="Times New Roman" w:eastAsia="Times New Roman" w:hAnsi="Times New Roman" w:cs="Times New Roman"/>
        </w:rPr>
        <w:t>such as blocking senior management appointments, large borrowings and acquisitions—amount to protective rights or actual control.</w:t>
      </w:r>
    </w:p>
    <w:p w14:paraId="00000008" w14:textId="3D9AB07C" w:rsidR="00145D28" w:rsidRDefault="00F445B9">
      <w:pPr>
        <w:rPr>
          <w:rFonts w:ascii="Times New Roman" w:eastAsia="Times New Roman" w:hAnsi="Times New Roman" w:cs="Times New Roman"/>
          <w:b/>
          <w:bCs/>
        </w:rPr>
      </w:pPr>
      <w:r>
        <w:rPr>
          <w:rFonts w:ascii="Times New Roman" w:eastAsia="Times New Roman" w:hAnsi="Times New Roman" w:cs="Times New Roman"/>
          <w:b/>
          <w:bCs/>
        </w:rPr>
        <w:t>2. What rights can amount to control?</w:t>
      </w:r>
    </w:p>
    <w:p w14:paraId="00000009" w14:textId="77777777" w:rsidR="00145D28" w:rsidRDefault="00F445B9">
      <w:pPr>
        <w:rPr>
          <w:rFonts w:ascii="Times New Roman" w:eastAsia="Times New Roman" w:hAnsi="Times New Roman" w:cs="Times New Roman"/>
        </w:rPr>
      </w:pPr>
      <w:r>
        <w:rPr>
          <w:rFonts w:ascii="Times New Roman" w:eastAsia="Times New Roman" w:hAnsi="Times New Roman" w:cs="Times New Roman"/>
        </w:rPr>
        <w:t>Control may arise in two ways:</w:t>
      </w:r>
    </w:p>
    <w:p w14:paraId="4D1CC52E" w14:textId="77777777" w:rsidR="005B02E7" w:rsidRDefault="005B02E7" w:rsidP="005B02E7">
      <w:pPr>
        <w:pStyle w:val="ListParagraph"/>
        <w:numPr>
          <w:ilvl w:val="0"/>
          <w:numId w:val="2"/>
        </w:numPr>
        <w:rPr>
          <w:rFonts w:ascii="Times New Roman" w:eastAsia="Times New Roman" w:hAnsi="Times New Roman" w:cs="Times New Roman"/>
        </w:rPr>
      </w:pPr>
      <w:r w:rsidRPr="005B02E7">
        <w:rPr>
          <w:rFonts w:ascii="Times New Roman" w:eastAsia="Times New Roman" w:hAnsi="Times New Roman" w:cs="Times New Roman"/>
          <w:b/>
          <w:bCs/>
        </w:rPr>
        <w:t>Control through legal rights:</w:t>
      </w:r>
      <w:r w:rsidRPr="005B02E7">
        <w:rPr>
          <w:rFonts w:ascii="Times New Roman" w:eastAsia="Times New Roman" w:hAnsi="Times New Roman" w:cs="Times New Roman"/>
        </w:rPr>
        <w:t xml:space="preserve"> control may arise from legally enforceable rights, such as the right to appoint a majority of the Board, which is expressly recognised in the definition of “control” under </w:t>
      </w:r>
      <w:r w:rsidRPr="005B02E7">
        <w:rPr>
          <w:rFonts w:ascii="Times New Roman" w:eastAsia="Times New Roman" w:hAnsi="Times New Roman" w:cs="Times New Roman"/>
          <w:b/>
          <w:bCs/>
        </w:rPr>
        <w:t>Section 2(27) of the Companies Act, 2013</w:t>
      </w:r>
      <w:r w:rsidRPr="005B02E7">
        <w:rPr>
          <w:rFonts w:ascii="Times New Roman" w:eastAsia="Times New Roman" w:hAnsi="Times New Roman" w:cs="Times New Roman"/>
        </w:rPr>
        <w:t xml:space="preserve"> and </w:t>
      </w:r>
      <w:r w:rsidRPr="005B02E7">
        <w:rPr>
          <w:rFonts w:ascii="Times New Roman" w:eastAsia="Times New Roman" w:hAnsi="Times New Roman" w:cs="Times New Roman"/>
          <w:b/>
          <w:bCs/>
        </w:rPr>
        <w:t>Regulation 2(1)(e) of the SAST Regulations</w:t>
      </w:r>
      <w:r w:rsidRPr="005B02E7">
        <w:rPr>
          <w:rFonts w:ascii="Times New Roman" w:eastAsia="Times New Roman" w:hAnsi="Times New Roman" w:cs="Times New Roman"/>
        </w:rPr>
        <w:t>.</w:t>
      </w:r>
    </w:p>
    <w:p w14:paraId="5F783827" w14:textId="5F409EE6" w:rsidR="005B02E7" w:rsidRPr="005B02E7" w:rsidRDefault="005B02E7" w:rsidP="005B02E7">
      <w:pPr>
        <w:pStyle w:val="ListParagraph"/>
        <w:numPr>
          <w:ilvl w:val="0"/>
          <w:numId w:val="2"/>
        </w:numPr>
        <w:rPr>
          <w:rFonts w:ascii="Times New Roman" w:eastAsia="Times New Roman" w:hAnsi="Times New Roman" w:cs="Times New Roman"/>
        </w:rPr>
      </w:pPr>
      <w:r w:rsidRPr="005B02E7">
        <w:rPr>
          <w:rFonts w:ascii="Times New Roman" w:eastAsia="Times New Roman" w:hAnsi="Times New Roman" w:cs="Times New Roman"/>
          <w:b/>
          <w:bCs/>
        </w:rPr>
        <w:t>Control through voting or contractual rights:</w:t>
      </w:r>
      <w:r w:rsidRPr="005B02E7">
        <w:rPr>
          <w:rFonts w:ascii="Times New Roman" w:eastAsia="Times New Roman" w:hAnsi="Times New Roman" w:cs="Times New Roman"/>
        </w:rPr>
        <w:t xml:space="preserve"> control may also arise through voting rights attached to shareholding, shareholders’ agreements, voting agreements or other arrangements where those rights enable a person to control the company's management or policy decisions.</w:t>
      </w:r>
    </w:p>
    <w:p w14:paraId="0000000C" w14:textId="77777777" w:rsidR="00145D28" w:rsidRDefault="00F445B9">
      <w:pPr>
        <w:rPr>
          <w:rFonts w:ascii="Times New Roman" w:eastAsia="Times New Roman" w:hAnsi="Times New Roman" w:cs="Times New Roman"/>
        </w:rPr>
      </w:pPr>
      <w:r>
        <w:rPr>
          <w:rFonts w:ascii="Times New Roman" w:eastAsia="Times New Roman" w:hAnsi="Times New Roman" w:cs="Times New Roman"/>
        </w:rPr>
        <w:t>For example, an investor holding only 18% may still exercise control if it has the contractual right to appoint key directors or determine important management or policy decisions.</w:t>
      </w:r>
    </w:p>
    <w:p w14:paraId="0000000D" w14:textId="77777777" w:rsidR="00145D28" w:rsidRDefault="00F445B9">
      <w:pPr>
        <w:rPr>
          <w:rFonts w:ascii="Times New Roman" w:eastAsia="Times New Roman" w:hAnsi="Times New Roman" w:cs="Times New Roman"/>
        </w:rPr>
      </w:pPr>
      <w:r>
        <w:rPr>
          <w:rFonts w:ascii="Times New Roman" w:eastAsia="Times New Roman" w:hAnsi="Times New Roman" w:cs="Times New Roman"/>
        </w:rPr>
        <w:t>However, not every contractual right amounts to control. Ordinary investor-protection rights, such as requiring consent for certain fundamental changes affecting the investor's investment, may not, by themselves, establish control. The stronger question is whether the rights allow the investor to positively influence or direct the company's affairs.</w:t>
      </w:r>
    </w:p>
    <w:p w14:paraId="0000000E" w14:textId="77777777" w:rsidR="00145D28" w:rsidRDefault="00F445B9">
      <w:pPr>
        <w:rPr>
          <w:rFonts w:ascii="Times New Roman" w:eastAsia="Times New Roman" w:hAnsi="Times New Roman" w:cs="Times New Roman"/>
          <w:b/>
          <w:bCs/>
        </w:rPr>
      </w:pPr>
      <w:r>
        <w:rPr>
          <w:rFonts w:ascii="Times New Roman" w:eastAsia="Times New Roman" w:hAnsi="Times New Roman" w:cs="Times New Roman"/>
          <w:b/>
          <w:bCs/>
        </w:rPr>
        <w:t>3. Application to the present situation</w:t>
      </w:r>
    </w:p>
    <w:p w14:paraId="42BAFBF8" w14:textId="77777777" w:rsidR="00996AD7" w:rsidRPr="00445B06" w:rsidRDefault="00996AD7" w:rsidP="00996AD7">
      <w:pPr>
        <w:rPr>
          <w:rFonts w:ascii="Times New Roman" w:eastAsia="Times New Roman" w:hAnsi="Times New Roman" w:cs="Times New Roman"/>
        </w:rPr>
      </w:pPr>
      <w:r w:rsidRPr="00445B06">
        <w:rPr>
          <w:rFonts w:ascii="Times New Roman" w:eastAsia="Times New Roman" w:hAnsi="Times New Roman" w:cs="Times New Roman"/>
        </w:rPr>
        <w:lastRenderedPageBreak/>
        <w:t>The 18% shareholding by itself would not establish control. The relevant question is whether the rights attached to the investment give the shareholder the ability to control or determine the company's management or policy decisions.</w:t>
      </w:r>
    </w:p>
    <w:p w14:paraId="1A613482" w14:textId="77777777" w:rsidR="00996AD7" w:rsidRPr="00445B06" w:rsidRDefault="00996AD7" w:rsidP="00996AD7">
      <w:pPr>
        <w:rPr>
          <w:rFonts w:ascii="Times New Roman" w:eastAsia="Times New Roman" w:hAnsi="Times New Roman" w:cs="Times New Roman"/>
        </w:rPr>
      </w:pPr>
      <w:r w:rsidRPr="00445B06">
        <w:rPr>
          <w:rFonts w:ascii="Times New Roman" w:eastAsia="Times New Roman" w:hAnsi="Times New Roman" w:cs="Times New Roman"/>
        </w:rPr>
        <w:t xml:space="preserve">While </w:t>
      </w:r>
      <w:r w:rsidRPr="00445B06">
        <w:rPr>
          <w:rFonts w:ascii="Times New Roman" w:eastAsia="Times New Roman" w:hAnsi="Times New Roman" w:cs="Times New Roman"/>
          <w:i/>
          <w:iCs/>
        </w:rPr>
        <w:t>ArcelorMittal India Pvt. Ltd. v. Satish Kumar Gupta</w:t>
      </w:r>
      <w:r w:rsidRPr="00445B06">
        <w:rPr>
          <w:rFonts w:ascii="Times New Roman" w:eastAsia="Times New Roman" w:hAnsi="Times New Roman" w:cs="Times New Roman"/>
        </w:rPr>
        <w:t xml:space="preserve"> was decided in the context of Section 29A of the Insolvency and Bankruptcy Code, 2016, the Supreme Court's discussion of “control” provides useful guidance on distinguishing positive rights, which enable a person to direct management or policy decisions, from negative or protective rights, which merely allow a person to prevent specified decisions. The decision may therefore be considered by analogy when assessing whether contractual rights held by a minority investor amount to control.</w:t>
      </w:r>
    </w:p>
    <w:p w14:paraId="1E2829C8" w14:textId="32E82460" w:rsidR="00996AD7" w:rsidRPr="00445B06" w:rsidRDefault="00996AD7" w:rsidP="00996AD7">
      <w:pPr>
        <w:rPr>
          <w:rFonts w:ascii="Times New Roman" w:eastAsia="Times New Roman" w:hAnsi="Times New Roman" w:cs="Times New Roman"/>
        </w:rPr>
      </w:pPr>
      <w:r w:rsidRPr="00445B06">
        <w:rPr>
          <w:rFonts w:ascii="Times New Roman" w:eastAsia="Times New Roman" w:hAnsi="Times New Roman" w:cs="Times New Roman"/>
        </w:rPr>
        <w:t>Accordingly, if the investor's rights are limited to protecting its investment—for example, requiring its consent before the company undertakes a major acquisition, incurs substantial borrowings or makes other specified fundamental changes</w:t>
      </w:r>
      <w:r w:rsidR="00445B06">
        <w:rPr>
          <w:rFonts w:ascii="Times New Roman" w:eastAsia="Times New Roman" w:hAnsi="Times New Roman" w:cs="Times New Roman"/>
        </w:rPr>
        <w:t xml:space="preserve"> </w:t>
      </w:r>
      <w:r w:rsidRPr="00445B06">
        <w:rPr>
          <w:rFonts w:ascii="Times New Roman" w:eastAsia="Times New Roman" w:hAnsi="Times New Roman" w:cs="Times New Roman"/>
        </w:rPr>
        <w:t>those rights would not necessarily amount to control. However, if the rights enable the investor to appoint or remove directors, determine senior management, direct the company's strategy or otherwise exercise substantive influence over management or policy decisions, there would be a stronger basis for treating the investor as exercising control despite its minority shareholding.</w:t>
      </w:r>
    </w:p>
    <w:p w14:paraId="05D7AD3C" w14:textId="77777777" w:rsidR="00996AD7" w:rsidRPr="00445B06" w:rsidRDefault="00996AD7" w:rsidP="00996AD7">
      <w:pPr>
        <w:rPr>
          <w:rFonts w:ascii="Times New Roman" w:eastAsia="Times New Roman" w:hAnsi="Times New Roman" w:cs="Times New Roman"/>
        </w:rPr>
      </w:pPr>
      <w:r w:rsidRPr="00445B06">
        <w:rPr>
          <w:rFonts w:ascii="Times New Roman" w:eastAsia="Times New Roman" w:hAnsi="Times New Roman" w:cs="Times New Roman"/>
        </w:rPr>
        <w:t>The assessment would therefore depend on the nature, extent and practical effect of the rights as a whole, rather than merely the investor's 18% shareholding or the existence of veto provisions in the shareholders' agreement.</w:t>
      </w:r>
    </w:p>
    <w:p w14:paraId="00000012" w14:textId="77777777" w:rsidR="00145D28" w:rsidRDefault="00F445B9">
      <w:pPr>
        <w:rPr>
          <w:rFonts w:ascii="Times New Roman" w:eastAsia="Times New Roman" w:hAnsi="Times New Roman" w:cs="Times New Roman"/>
          <w:b/>
          <w:bCs/>
        </w:rPr>
      </w:pPr>
      <w:r>
        <w:rPr>
          <w:rFonts w:ascii="Times New Roman" w:eastAsia="Times New Roman" w:hAnsi="Times New Roman" w:cs="Times New Roman"/>
          <w:b/>
          <w:bCs/>
        </w:rPr>
        <w:t>Conclusion</w:t>
      </w:r>
    </w:p>
    <w:p w14:paraId="00000013" w14:textId="77777777" w:rsidR="00145D28" w:rsidRDefault="00F445B9">
      <w:pPr>
        <w:rPr>
          <w:rFonts w:ascii="Times New Roman" w:eastAsia="Times New Roman" w:hAnsi="Times New Roman" w:cs="Times New Roman"/>
        </w:rPr>
      </w:pPr>
      <w:r>
        <w:rPr>
          <w:rFonts w:ascii="Times New Roman" w:eastAsia="Times New Roman" w:hAnsi="Times New Roman" w:cs="Times New Roman"/>
          <w:b/>
          <w:bCs/>
        </w:rPr>
        <w:t>Yes.</w:t>
      </w:r>
      <w:r>
        <w:rPr>
          <w:rFonts w:ascii="Times New Roman" w:eastAsia="Times New Roman" w:hAnsi="Times New Roman" w:cs="Times New Roman"/>
        </w:rPr>
        <w:t xml:space="preserve"> A person can be regarded as exercising control over a listed company even without holding 50% of its shares. If the person's contractual, voting, board or management rights give them real and positive influence over management or policy decisions, the authorities may treat them as exercising control and apply the resulting Companies Act and SEBI obligations.</w:t>
      </w:r>
    </w:p>
    <w:p w14:paraId="00000014" w14:textId="77777777" w:rsidR="00145D28" w:rsidRDefault="00F445B9">
      <w:pPr>
        <w:rPr>
          <w:rFonts w:ascii="Times New Roman" w:eastAsia="Times New Roman" w:hAnsi="Times New Roman" w:cs="Times New Roman"/>
        </w:rPr>
      </w:pPr>
      <w:r>
        <w:rPr>
          <w:rFonts w:ascii="Times New Roman" w:eastAsia="Times New Roman" w:hAnsi="Times New Roman" w:cs="Times New Roman"/>
        </w:rPr>
        <w:t>References:</w:t>
      </w:r>
    </w:p>
    <w:p w14:paraId="00000015" w14:textId="77777777" w:rsidR="00145D28" w:rsidRPr="000D760D" w:rsidRDefault="00F445B9">
      <w:pPr>
        <w:rPr>
          <w:rFonts w:ascii="Times New Roman" w:eastAsia="Times New Roman" w:hAnsi="Times New Roman" w:cs="Times New Roman"/>
        </w:rPr>
      </w:pPr>
      <w:r>
        <w:rPr>
          <w:rFonts w:ascii="Times New Roman" w:eastAsia="Times New Roman" w:hAnsi="Times New Roman" w:cs="Times New Roman"/>
        </w:rPr>
        <w:t>Companies Act, 2013</w:t>
      </w:r>
    </w:p>
    <w:p w14:paraId="351635DB" w14:textId="301CF325" w:rsidR="000D760D" w:rsidRDefault="000D760D">
      <w:pPr>
        <w:rPr>
          <w:rFonts w:ascii="Times New Roman" w:eastAsia="Times New Roman" w:hAnsi="Times New Roman" w:cs="Times New Roman"/>
        </w:rPr>
      </w:pPr>
      <w:r w:rsidRPr="000D760D">
        <w:rPr>
          <w:rFonts w:ascii="Times New Roman" w:eastAsia="Times New Roman" w:hAnsi="Times New Roman" w:cs="Times New Roman"/>
        </w:rPr>
        <w:t>SEBI (Substantial Acquisition of Shares and Takeovers) Regulations, 2011</w:t>
      </w:r>
    </w:p>
    <w:p w14:paraId="3D939693" w14:textId="742EBD78" w:rsidR="00B451FC" w:rsidRPr="000D760D" w:rsidRDefault="00B451FC">
      <w:pPr>
        <w:rPr>
          <w:rFonts w:ascii="Times New Roman" w:eastAsia="Times New Roman" w:hAnsi="Times New Roman" w:cs="Times New Roman"/>
        </w:rPr>
      </w:pPr>
      <w:r w:rsidRPr="00445B06">
        <w:rPr>
          <w:rFonts w:ascii="Times New Roman" w:eastAsia="Times New Roman" w:hAnsi="Times New Roman" w:cs="Times New Roman"/>
          <w:i/>
          <w:iCs/>
        </w:rPr>
        <w:t>ArcelorMittal India Pvt. Ltd. v. Satish Kumar Gupt</w:t>
      </w:r>
      <w:r>
        <w:rPr>
          <w:rFonts w:ascii="Times New Roman" w:eastAsia="Times New Roman" w:hAnsi="Times New Roman" w:cs="Times New Roman"/>
          <w:i/>
          <w:iCs/>
        </w:rPr>
        <w:t>a</w:t>
      </w:r>
    </w:p>
    <w:p w14:paraId="00000016" w14:textId="0742DFE9" w:rsidR="00145D28" w:rsidRDefault="00145D28">
      <w:pPr>
        <w:rPr>
          <w:rFonts w:ascii="Times New Roman" w:eastAsia="Times New Roman" w:hAnsi="Times New Roman" w:cs="Times New Roman"/>
        </w:rPr>
      </w:pPr>
    </w:p>
    <w:sectPr w:rsidR="00145D28">
      <w:pgSz w:w="11906" w:h="16838"/>
      <w:pgMar w:top="567" w:right="567" w:bottom="567"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3AC0F51-FBD7-47C5-85CE-F98F50E479BD}"/>
  </w:font>
  <w:font w:name="Aptos">
    <w:charset w:val="00"/>
    <w:family w:val="swiss"/>
    <w:pitch w:val="variable"/>
    <w:sig w:usb0="20000287" w:usb1="00000003" w:usb2="00000000" w:usb3="00000000" w:csb0="0000019F" w:csb1="00000000"/>
    <w:embedRegular r:id="rId2" w:fontKey="{9908820D-155A-4930-91B5-34B1BC0747BF}"/>
    <w:embedBold r:id="rId3" w:fontKey="{27402E91-0971-494B-881D-EB96FA0C1AAA}"/>
    <w:embedItalic r:id="rId4" w:fontKey="{56CF4411-184E-46DD-8C1A-D68C2DDE6B63}"/>
  </w:font>
  <w:font w:name="Play">
    <w:charset w:val="00"/>
    <w:family w:val="auto"/>
    <w:pitch w:val="default"/>
    <w:embedRegular r:id="rId5" w:fontKey="{F70415E6-2E14-424D-8F1C-A94921174A29}"/>
  </w:font>
  <w:font w:name="Aptos Display">
    <w:altName w:val="Calibri"/>
    <w:charset w:val="00"/>
    <w:family w:val="swiss"/>
    <w:pitch w:val="variable"/>
    <w:sig w:usb0="20000287" w:usb1="00000003" w:usb2="00000000" w:usb3="00000000" w:csb0="0000019F" w:csb1="00000000"/>
    <w:embedRegular r:id="rId6" w:fontKey="{B4F58A07-F3F5-468B-B8A5-671926F4EC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D66F7"/>
    <w:multiLevelType w:val="hybridMultilevel"/>
    <w:tmpl w:val="A0488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3F30387"/>
    <w:multiLevelType w:val="multilevel"/>
    <w:tmpl w:val="3844E8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84492070">
    <w:abstractNumId w:val="1"/>
  </w:num>
  <w:num w:numId="2" w16cid:durableId="1895460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D28"/>
    <w:rsid w:val="000D760D"/>
    <w:rsid w:val="00145D28"/>
    <w:rsid w:val="00445B06"/>
    <w:rsid w:val="005B02E7"/>
    <w:rsid w:val="006710AB"/>
    <w:rsid w:val="00996AD7"/>
    <w:rsid w:val="00B451FC"/>
    <w:rsid w:val="00BB41D3"/>
    <w:rsid w:val="00BD0DCB"/>
    <w:rsid w:val="00D863A6"/>
    <w:rsid w:val="00DC4BE0"/>
    <w:rsid w:val="00F44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7FD41"/>
  <w15:docId w15:val="{E1EF86A5-26AF-47A8-BDD0-F2F29C017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590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590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56F"/>
    <w:rPr>
      <w:rFonts w:eastAsiaTheme="majorEastAsia" w:cstheme="majorBidi"/>
      <w:color w:val="272727" w:themeColor="text1" w:themeTint="D8"/>
    </w:rPr>
  </w:style>
  <w:style w:type="character" w:customStyle="1" w:styleId="TitleChar">
    <w:name w:val="Title Char"/>
    <w:basedOn w:val="DefaultParagraphFont"/>
    <w:link w:val="Title"/>
    <w:uiPriority w:val="10"/>
    <w:rsid w:val="0059056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590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56F"/>
    <w:pPr>
      <w:spacing w:before="160"/>
      <w:jc w:val="center"/>
    </w:pPr>
    <w:rPr>
      <w:i/>
      <w:iCs/>
      <w:color w:val="404040" w:themeColor="text1" w:themeTint="BF"/>
    </w:rPr>
  </w:style>
  <w:style w:type="character" w:customStyle="1" w:styleId="QuoteChar">
    <w:name w:val="Quote Char"/>
    <w:basedOn w:val="DefaultParagraphFont"/>
    <w:link w:val="Quote"/>
    <w:uiPriority w:val="29"/>
    <w:rsid w:val="0059056F"/>
    <w:rPr>
      <w:i/>
      <w:iCs/>
      <w:color w:val="404040" w:themeColor="text1" w:themeTint="BF"/>
    </w:rPr>
  </w:style>
  <w:style w:type="paragraph" w:styleId="ListParagraph">
    <w:name w:val="List Paragraph"/>
    <w:basedOn w:val="Normal"/>
    <w:uiPriority w:val="34"/>
    <w:qFormat/>
    <w:rsid w:val="0059056F"/>
    <w:pPr>
      <w:ind w:left="720"/>
      <w:contextualSpacing/>
    </w:pPr>
  </w:style>
  <w:style w:type="character" w:styleId="IntenseEmphasis">
    <w:name w:val="Intense Emphasis"/>
    <w:basedOn w:val="DefaultParagraphFont"/>
    <w:uiPriority w:val="21"/>
    <w:qFormat/>
    <w:rsid w:val="0059056F"/>
    <w:rPr>
      <w:i/>
      <w:iCs/>
      <w:color w:val="0F4761" w:themeColor="accent1" w:themeShade="BF"/>
    </w:rPr>
  </w:style>
  <w:style w:type="paragraph" w:styleId="IntenseQuote">
    <w:name w:val="Intense Quote"/>
    <w:basedOn w:val="Normal"/>
    <w:next w:val="Normal"/>
    <w:link w:val="IntenseQuoteChar"/>
    <w:uiPriority w:val="30"/>
    <w:qFormat/>
    <w:rsid w:val="00590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56F"/>
    <w:rPr>
      <w:i/>
      <w:iCs/>
      <w:color w:val="0F4761" w:themeColor="accent1" w:themeShade="BF"/>
    </w:rPr>
  </w:style>
  <w:style w:type="character" w:styleId="IntenseReference">
    <w:name w:val="Intense Reference"/>
    <w:basedOn w:val="DefaultParagraphFont"/>
    <w:uiPriority w:val="32"/>
    <w:qFormat/>
    <w:rsid w:val="0059056F"/>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11E5E"/>
    <w:rPr>
      <w:b/>
      <w:bCs/>
    </w:rPr>
  </w:style>
  <w:style w:type="character" w:customStyle="1" w:styleId="CommentSubjectChar">
    <w:name w:val="Comment Subject Char"/>
    <w:basedOn w:val="CommentTextChar"/>
    <w:link w:val="CommentSubject"/>
    <w:uiPriority w:val="99"/>
    <w:semiHidden/>
    <w:rsid w:val="00711E5E"/>
    <w:rPr>
      <w:b/>
      <w:bCs/>
      <w:sz w:val="20"/>
      <w:szCs w:val="20"/>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sINGi8ttcCRT0xHQFsiuXgKuDg==">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811</Words>
  <Characters>4628</Characters>
  <Application>Microsoft Office Word</Application>
  <DocSecurity>0</DocSecurity>
  <Lines>38</Lines>
  <Paragraphs>10</Paragraphs>
  <ScaleCrop>false</ScaleCrop>
  <Company/>
  <LinksUpToDate>false</LinksUpToDate>
  <CharactersWithSpaces>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Saniya Deogaonkar</dc:creator>
  <cp:lastModifiedBy>Saniya Deogaonkar</cp:lastModifiedBy>
  <cp:revision>9</cp:revision>
  <dcterms:created xsi:type="dcterms:W3CDTF">2026-08-22T06:24:00Z</dcterms:created>
  <dcterms:modified xsi:type="dcterms:W3CDTF">2026-08-23T07:41:00Z</dcterms:modified>
</cp:coreProperties>
</file>