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9DDF" w14:textId="77777777" w:rsidR="00694466" w:rsidRPr="00AC3FC1" w:rsidRDefault="005560FE">
      <w:pPr>
        <w:pStyle w:val="Heading1"/>
        <w:jc w:val="both"/>
        <w:rPr>
          <w:rFonts w:ascii="Times New Roman" w:eastAsia="Times New Roman" w:hAnsi="Times New Roman" w:cs="Times New Roman"/>
          <w:sz w:val="24"/>
          <w:szCs w:val="24"/>
        </w:rPr>
      </w:pPr>
      <w:bookmarkStart w:id="0" w:name="bookmark=id.97c1y8jsi7r2" w:colFirst="0" w:colLast="0"/>
      <w:bookmarkEnd w:id="0"/>
      <w:r w:rsidRPr="00AC3FC1">
        <w:rPr>
          <w:rFonts w:ascii="Times New Roman" w:eastAsia="Times New Roman" w:hAnsi="Times New Roman" w:cs="Times New Roman"/>
          <w:sz w:val="24"/>
          <w:szCs w:val="24"/>
        </w:rPr>
        <w:t>A Working Ontology of FEMA (India)</w:t>
      </w:r>
    </w:p>
    <w:p w14:paraId="76F89DE0" w14:textId="77777777" w:rsidR="00694466" w:rsidRPr="00AC3FC1" w:rsidRDefault="005560FE">
      <w:pPr>
        <w:pStyle w:val="Heading3"/>
        <w:jc w:val="both"/>
        <w:rPr>
          <w:rFonts w:ascii="Times New Roman" w:eastAsia="Times New Roman" w:hAnsi="Times New Roman" w:cs="Times New Roman"/>
        </w:rPr>
      </w:pPr>
      <w:bookmarkStart w:id="1" w:name="bookmark=id.ajusj97owfs8" w:colFirst="0" w:colLast="0"/>
      <w:bookmarkEnd w:id="1"/>
      <w:r w:rsidRPr="00AC3FC1">
        <w:rPr>
          <w:rFonts w:ascii="Times New Roman" w:eastAsia="Times New Roman" w:hAnsi="Times New Roman" w:cs="Times New Roman"/>
        </w:rPr>
        <w:t>Reference for navigating foreign-exchange law by concept rather than by index</w:t>
      </w:r>
    </w:p>
    <w:p w14:paraId="76F89DE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This document is a map of FEMA concepts and the connections between them. It is not a summary of the statute. Each section defines a class of thing (a source of law, a person, a transaction, an intermediary, a concept, an enforcement event), states what it means in plain terms, and identifies what it connects to and what can be inferred from it.</w:t>
      </w:r>
    </w:p>
    <w:p w14:paraId="76F89DE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intended use is reasoning by traversal. Given a fact such as "a Delaware LLC wants to buy shares in an Indian company," the reader should be able to move through the graph: a Delaware LLC is a person resident outside India; the acquisition of equity is a capital account transaction; capital account transactions are prohibited by default; they are permitted only through the Non-Debt Instruments Rules; the price must meet the Rule 21 floor certified by a valuer; the transaction is routed through an Authorised Dealer bank; it is reported on Form FC-GPR. Each step is defined below so that the traversal can be performed without external context.</w:t>
      </w:r>
    </w:p>
    <w:p w14:paraId="76F89DE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document has two layers. Parts A to L set out the ontology: the concepts and their connections, kept navigational. Part M is a detail layer that records the mechanics of each instrument, meaning the shape of its tests, gates, and formulas. On figures, the document follows one rule: a number that determines transaction structure or the answer (a threshold that flips an approval route, a classification threshold, a realisation window, a statutory penalty) is stated in the text, always with a verification pointer, because a reader cannot resolve the question without it. A number that is purely operational and changes constantly (a full sectoral cap table, an exact cost spread, a fee schedule) is described in shape and pointed to the live source rather than reproduced. Every figure, whether stated or pointed, carries the marker "[verify: live source]", because all of them are subject to amendment.</w:t>
      </w:r>
    </w:p>
    <w:p w14:paraId="76F89DE4"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6">
          <v:rect id="_x0000_i1025" style="width:0;height:1.5pt" o:hralign="center" o:hrstd="t" o:hr="t" fillcolor="#a0a0a0" stroked="f"/>
        </w:pict>
      </w:r>
    </w:p>
    <w:p w14:paraId="76F89DE5" w14:textId="77777777" w:rsidR="00694466" w:rsidRPr="00AC3FC1" w:rsidRDefault="005560FE">
      <w:pPr>
        <w:pStyle w:val="Heading2"/>
        <w:jc w:val="both"/>
        <w:rPr>
          <w:rFonts w:ascii="Times New Roman" w:eastAsia="Times New Roman" w:hAnsi="Times New Roman" w:cs="Times New Roman"/>
          <w:sz w:val="24"/>
          <w:szCs w:val="24"/>
        </w:rPr>
      </w:pPr>
      <w:bookmarkStart w:id="2" w:name="bookmark=id.vqoq0jt31fwj" w:colFirst="0" w:colLast="0"/>
      <w:bookmarkEnd w:id="2"/>
      <w:r w:rsidRPr="00AC3FC1">
        <w:rPr>
          <w:rFonts w:ascii="Times New Roman" w:eastAsia="Times New Roman" w:hAnsi="Times New Roman" w:cs="Times New Roman"/>
          <w:sz w:val="24"/>
          <w:szCs w:val="24"/>
        </w:rPr>
        <w:t>PART A. STRUCTURE OF THE LAW</w:t>
      </w:r>
    </w:p>
    <w:p w14:paraId="76F89DE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FEMA is a layered set of instruments. The most common error in reading it is treating the layers as interchangeable. They differ by who makes them, what authority they carry, and what function they serve. The layer from which a proposition is drawn must always be identified.</w:t>
      </w:r>
    </w:p>
    <w:p w14:paraId="76F89DE7" w14:textId="486C475E" w:rsidR="00694466" w:rsidRPr="00AC3FC1" w:rsidRDefault="005560FE">
      <w:pPr>
        <w:pStyle w:val="Heading3"/>
        <w:jc w:val="both"/>
        <w:rPr>
          <w:rFonts w:ascii="Times New Roman" w:eastAsia="Times New Roman" w:hAnsi="Times New Roman" w:cs="Times New Roman"/>
        </w:rPr>
      </w:pPr>
      <w:bookmarkStart w:id="3" w:name="bookmark=id.gvatxpfz7lkd" w:colFirst="0" w:colLast="0"/>
      <w:bookmarkEnd w:id="3"/>
      <w:r w:rsidRPr="00AC3FC1">
        <w:rPr>
          <w:rFonts w:ascii="Times New Roman" w:eastAsia="Times New Roman" w:hAnsi="Times New Roman" w:cs="Times New Roman"/>
        </w:rPr>
        <w:t>A.1 The f</w:t>
      </w:r>
      <w:r w:rsidR="00FB44B2" w:rsidRPr="00AC3FC1">
        <w:rPr>
          <w:rFonts w:ascii="Times New Roman" w:eastAsia="Times New Roman" w:hAnsi="Times New Roman" w:cs="Times New Roman"/>
        </w:rPr>
        <w:t>our</w:t>
      </w:r>
      <w:r w:rsidRPr="00AC3FC1">
        <w:rPr>
          <w:rFonts w:ascii="Times New Roman" w:eastAsia="Times New Roman" w:hAnsi="Times New Roman" w:cs="Times New Roman"/>
        </w:rPr>
        <w:t xml:space="preserve"> layers</w:t>
      </w:r>
    </w:p>
    <w:tbl>
      <w:tblPr>
        <w:tblStyle w:val="a"/>
        <w:tblW w:w="7920" w:type="dxa"/>
        <w:tblInd w:w="-108" w:type="dxa"/>
        <w:tblLayout w:type="fixed"/>
        <w:tblLook w:val="0020" w:firstRow="1" w:lastRow="0" w:firstColumn="0" w:lastColumn="0" w:noHBand="0" w:noVBand="0"/>
      </w:tblPr>
      <w:tblGrid>
        <w:gridCol w:w="1584"/>
        <w:gridCol w:w="1584"/>
        <w:gridCol w:w="1584"/>
        <w:gridCol w:w="1584"/>
        <w:gridCol w:w="1584"/>
      </w:tblGrid>
      <w:tr w:rsidR="00694466" w:rsidRPr="00AC3FC1" w14:paraId="76F89DED" w14:textId="77777777" w:rsidTr="00694466">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B7B7B7"/>
          </w:tcPr>
          <w:p w14:paraId="76F89DE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b/>
                <w:bCs/>
                <w:color w:val="000000"/>
              </w:rPr>
            </w:pPr>
            <w:r w:rsidRPr="00AC3FC1">
              <w:rPr>
                <w:rFonts w:ascii="Times New Roman" w:eastAsia="Times New Roman" w:hAnsi="Times New Roman" w:cs="Times New Roman"/>
                <w:b/>
                <w:bCs/>
                <w:color w:val="000000"/>
              </w:rPr>
              <w:t>Layer</w:t>
            </w:r>
          </w:p>
        </w:tc>
        <w:tc>
          <w:tcPr>
            <w:tcW w:w="1584" w:type="dxa"/>
            <w:shd w:val="clear" w:color="auto" w:fill="B7B7B7"/>
          </w:tcPr>
          <w:p w14:paraId="76F89DE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b/>
                <w:bCs/>
                <w:color w:val="000000"/>
              </w:rPr>
            </w:pPr>
            <w:r w:rsidRPr="00AC3FC1">
              <w:rPr>
                <w:rFonts w:ascii="Times New Roman" w:eastAsia="Times New Roman" w:hAnsi="Times New Roman" w:cs="Times New Roman"/>
                <w:b/>
                <w:bCs/>
                <w:color w:val="000000"/>
              </w:rPr>
              <w:t>Instrument</w:t>
            </w:r>
          </w:p>
        </w:tc>
        <w:tc>
          <w:tcPr>
            <w:tcW w:w="1584" w:type="dxa"/>
            <w:shd w:val="clear" w:color="auto" w:fill="B7B7B7"/>
          </w:tcPr>
          <w:p w14:paraId="76F89DEA"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b/>
                <w:bCs/>
                <w:color w:val="000000"/>
              </w:rPr>
            </w:pPr>
            <w:r w:rsidRPr="00AC3FC1">
              <w:rPr>
                <w:rFonts w:ascii="Times New Roman" w:eastAsia="Times New Roman" w:hAnsi="Times New Roman" w:cs="Times New Roman"/>
                <w:b/>
                <w:bCs/>
                <w:color w:val="000000"/>
              </w:rPr>
              <w:t>Made by</w:t>
            </w:r>
          </w:p>
        </w:tc>
        <w:tc>
          <w:tcPr>
            <w:tcW w:w="1584" w:type="dxa"/>
            <w:shd w:val="clear" w:color="auto" w:fill="B7B7B7"/>
          </w:tcPr>
          <w:p w14:paraId="76F89DE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b/>
                <w:bCs/>
                <w:color w:val="000000"/>
              </w:rPr>
            </w:pPr>
            <w:r w:rsidRPr="00AC3FC1">
              <w:rPr>
                <w:rFonts w:ascii="Times New Roman" w:eastAsia="Times New Roman" w:hAnsi="Times New Roman" w:cs="Times New Roman"/>
                <w:b/>
                <w:bCs/>
                <w:color w:val="000000"/>
              </w:rPr>
              <w:t>Force</w:t>
            </w:r>
          </w:p>
        </w:tc>
        <w:tc>
          <w:tcPr>
            <w:tcW w:w="1584" w:type="dxa"/>
            <w:shd w:val="clear" w:color="auto" w:fill="B7B7B7"/>
          </w:tcPr>
          <w:p w14:paraId="76F89DE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b/>
                <w:bCs/>
                <w:color w:val="000000"/>
              </w:rPr>
            </w:pPr>
            <w:r w:rsidRPr="00AC3FC1">
              <w:rPr>
                <w:rFonts w:ascii="Times New Roman" w:eastAsia="Times New Roman" w:hAnsi="Times New Roman" w:cs="Times New Roman"/>
                <w:b/>
                <w:bCs/>
                <w:color w:val="000000"/>
              </w:rPr>
              <w:t>Function</w:t>
            </w:r>
          </w:p>
        </w:tc>
      </w:tr>
      <w:tr w:rsidR="00694466" w:rsidRPr="00AC3FC1" w14:paraId="76F89DF3" w14:textId="77777777" w:rsidTr="00694466">
        <w:tc>
          <w:tcPr>
            <w:tcW w:w="1584" w:type="dxa"/>
          </w:tcPr>
          <w:p w14:paraId="76F89DEE"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1</w:t>
            </w:r>
          </w:p>
        </w:tc>
        <w:tc>
          <w:tcPr>
            <w:tcW w:w="1584" w:type="dxa"/>
          </w:tcPr>
          <w:p w14:paraId="76F89DE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Act (FEMA, 1999)</w:t>
            </w:r>
          </w:p>
        </w:tc>
        <w:tc>
          <w:tcPr>
            <w:tcW w:w="1584" w:type="dxa"/>
          </w:tcPr>
          <w:p w14:paraId="76F89DF0"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Parliament</w:t>
            </w:r>
          </w:p>
        </w:tc>
        <w:tc>
          <w:tcPr>
            <w:tcW w:w="1584" w:type="dxa"/>
          </w:tcPr>
          <w:p w14:paraId="76F89DF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Primary legislation; binding</w:t>
            </w:r>
          </w:p>
        </w:tc>
        <w:tc>
          <w:tcPr>
            <w:tcW w:w="1584" w:type="dxa"/>
          </w:tcPr>
          <w:p w14:paraId="76F89DF2"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Sets the framework, defines core terms, confers power to make everything below</w:t>
            </w:r>
          </w:p>
        </w:tc>
      </w:tr>
      <w:tr w:rsidR="00694466" w:rsidRPr="00AC3FC1" w14:paraId="76F89DF9" w14:textId="77777777" w:rsidTr="00694466">
        <w:tc>
          <w:tcPr>
            <w:tcW w:w="1584" w:type="dxa"/>
          </w:tcPr>
          <w:p w14:paraId="76F89DF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2</w:t>
            </w:r>
          </w:p>
        </w:tc>
        <w:tc>
          <w:tcPr>
            <w:tcW w:w="1584" w:type="dxa"/>
          </w:tcPr>
          <w:p w14:paraId="76F89DF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Rules</w:t>
            </w:r>
          </w:p>
        </w:tc>
        <w:tc>
          <w:tcPr>
            <w:tcW w:w="1584" w:type="dxa"/>
          </w:tcPr>
          <w:p w14:paraId="76F89DF6"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Central Government (Ministry of Finance)</w:t>
            </w:r>
          </w:p>
        </w:tc>
        <w:tc>
          <w:tcPr>
            <w:tcW w:w="1584" w:type="dxa"/>
          </w:tcPr>
          <w:p w14:paraId="76F89DF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Subordinate legislation; binding</w:t>
            </w:r>
          </w:p>
        </w:tc>
        <w:tc>
          <w:tcPr>
            <w:tcW w:w="1584" w:type="dxa"/>
          </w:tcPr>
          <w:p w14:paraId="76F89DF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Govern current account transactions, compounding, adjudication, and non-debt instruments</w:t>
            </w:r>
          </w:p>
        </w:tc>
      </w:tr>
      <w:tr w:rsidR="00694466" w:rsidRPr="00AC3FC1" w14:paraId="76F89DFF" w14:textId="77777777" w:rsidTr="00694466">
        <w:tc>
          <w:tcPr>
            <w:tcW w:w="1584" w:type="dxa"/>
          </w:tcPr>
          <w:p w14:paraId="76F89DFA"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3</w:t>
            </w:r>
          </w:p>
        </w:tc>
        <w:tc>
          <w:tcPr>
            <w:tcW w:w="1584" w:type="dxa"/>
          </w:tcPr>
          <w:p w14:paraId="76F89DF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Regulations</w:t>
            </w:r>
          </w:p>
        </w:tc>
        <w:tc>
          <w:tcPr>
            <w:tcW w:w="1584" w:type="dxa"/>
          </w:tcPr>
          <w:p w14:paraId="76F89DF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Reserve Bank of India (RBI)</w:t>
            </w:r>
          </w:p>
        </w:tc>
        <w:tc>
          <w:tcPr>
            <w:tcW w:w="1584" w:type="dxa"/>
          </w:tcPr>
          <w:p w14:paraId="76F89DF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Subordinate legislation; binding</w:t>
            </w:r>
          </w:p>
        </w:tc>
        <w:tc>
          <w:tcPr>
            <w:tcW w:w="1584" w:type="dxa"/>
          </w:tcPr>
          <w:p w14:paraId="76F89DFE"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Govern capital account transactions, trade, deposits, derivatives, and most operational matters</w:t>
            </w:r>
          </w:p>
        </w:tc>
      </w:tr>
      <w:tr w:rsidR="00694466" w:rsidRPr="00AC3FC1" w14:paraId="76F89E05" w14:textId="77777777" w:rsidTr="00694466">
        <w:tc>
          <w:tcPr>
            <w:tcW w:w="1584" w:type="dxa"/>
          </w:tcPr>
          <w:p w14:paraId="76F89E00"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4</w:t>
            </w:r>
          </w:p>
        </w:tc>
        <w:tc>
          <w:tcPr>
            <w:tcW w:w="1584" w:type="dxa"/>
          </w:tcPr>
          <w:p w14:paraId="76F89E0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Directions</w:t>
            </w:r>
          </w:p>
        </w:tc>
        <w:tc>
          <w:tcPr>
            <w:tcW w:w="1584" w:type="dxa"/>
          </w:tcPr>
          <w:p w14:paraId="76F89E02"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RBI</w:t>
            </w:r>
          </w:p>
        </w:tc>
        <w:tc>
          <w:tcPr>
            <w:tcW w:w="1584" w:type="dxa"/>
          </w:tcPr>
          <w:p w14:paraId="76F89E03"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Directions to Authorised Persons; binding on them; consolidated guidance</w:t>
            </w:r>
          </w:p>
        </w:tc>
        <w:tc>
          <w:tcPr>
            <w:tcW w:w="1584" w:type="dxa"/>
          </w:tcPr>
          <w:p w14:paraId="76F89E0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Compile and explain how the Rules and Regulations operate in practice</w:t>
            </w:r>
          </w:p>
        </w:tc>
      </w:tr>
    </w:tbl>
    <w:p w14:paraId="76F89E06" w14:textId="77777777" w:rsidR="00694466" w:rsidRPr="00AC3FC1" w:rsidRDefault="005560FE">
      <w:pPr>
        <w:pStyle w:val="Heading3"/>
        <w:jc w:val="both"/>
        <w:rPr>
          <w:rFonts w:ascii="Times New Roman" w:eastAsia="Times New Roman" w:hAnsi="Times New Roman" w:cs="Times New Roman"/>
        </w:rPr>
      </w:pPr>
      <w:bookmarkStart w:id="4" w:name="bookmark=id.gofczee3cx4a" w:colFirst="0" w:colLast="0"/>
      <w:bookmarkEnd w:id="4"/>
      <w:r w:rsidRPr="00AC3FC1">
        <w:rPr>
          <w:rFonts w:ascii="Times New Roman" w:eastAsia="Times New Roman" w:hAnsi="Times New Roman" w:cs="Times New Roman"/>
        </w:rPr>
        <w:t>A.2 Division of labour between the two rule-makers</w:t>
      </w:r>
    </w:p>
    <w:p w14:paraId="76F89E0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Two authorities make subordinate law, and their competences are separated.</w:t>
      </w:r>
    </w:p>
    <w:p w14:paraId="76F89E08" w14:textId="16D6674D"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Central Government makes Rules for: current account transactions, compounding proceedings, adjudication proceedings, an</w:t>
      </w:r>
      <w:r w:rsidR="000F6008" w:rsidRPr="00AC3FC1">
        <w:rPr>
          <w:rFonts w:ascii="Times New Roman" w:eastAsia="Times New Roman" w:hAnsi="Times New Roman" w:cs="Times New Roman"/>
          <w:color w:val="000000"/>
        </w:rPr>
        <w:t xml:space="preserve">d </w:t>
      </w:r>
      <w:r w:rsidRPr="00AC3FC1">
        <w:rPr>
          <w:rFonts w:ascii="Times New Roman" w:eastAsia="Times New Roman" w:hAnsi="Times New Roman" w:cs="Times New Roman"/>
          <w:color w:val="000000"/>
        </w:rPr>
        <w:t>non-debt instruments, meaning equity-type inbound investment.</w:t>
      </w:r>
    </w:p>
    <w:p w14:paraId="76F89E0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RBI makes Regulations for: capital account transactions generally, trade (export and import), deposits, borrowing and lending, guarantees, derivatives, money-changing, and debt instruments.</w:t>
      </w:r>
    </w:p>
    <w:p w14:paraId="76F89E0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 proposition about equity foreign direct investment or about immovable property held by non-residents is governed by a Rule (the Non-Debt Instruments Rules, made by the Central Government), even though such subjects are commonly associated with the RBI. This reallocation took effect in 2019 and is a frequent source of error. The RBI's residual role for FDI is confined to the mode of payment and reporting, which remains a Regulation.</w:t>
      </w:r>
    </w:p>
    <w:p w14:paraId="76F89E0B" w14:textId="77777777" w:rsidR="00694466" w:rsidRPr="00AC3FC1" w:rsidRDefault="005560FE">
      <w:pPr>
        <w:pStyle w:val="Heading3"/>
        <w:jc w:val="both"/>
        <w:rPr>
          <w:rFonts w:ascii="Times New Roman" w:eastAsia="Times New Roman" w:hAnsi="Times New Roman" w:cs="Times New Roman"/>
        </w:rPr>
      </w:pPr>
      <w:bookmarkStart w:id="5" w:name="bookmark=id.660vtaya681f" w:colFirst="0" w:colLast="0"/>
      <w:bookmarkEnd w:id="5"/>
      <w:r w:rsidRPr="00AC3FC1">
        <w:rPr>
          <w:rFonts w:ascii="Times New Roman" w:eastAsia="Times New Roman" w:hAnsi="Times New Roman" w:cs="Times New Roman"/>
        </w:rPr>
        <w:lastRenderedPageBreak/>
        <w:t>A.3 Relationship between the layers</w:t>
      </w:r>
    </w:p>
    <w:p w14:paraId="76F89E0C" w14:textId="19F8BD74"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A Master Direction does not override a Rule or Regulation. Where they conflict, the Rule or Regulation prevails. </w:t>
      </w:r>
      <w:r w:rsidR="0047233F" w:rsidRPr="00AC3FC1">
        <w:rPr>
          <w:rFonts w:ascii="Times New Roman" w:eastAsia="Times New Roman" w:hAnsi="Times New Roman" w:cs="Times New Roman"/>
          <w:color w:val="000000"/>
        </w:rPr>
        <w:t>The Master Direction is a consolidated operational source. It explains how the underlying Rules and Regulations operate in practice but does not override them.</w:t>
      </w:r>
    </w:p>
    <w:p w14:paraId="76F89E0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Master Direction is maintained continuously. The RBI amends it in place when the underlying law changes and records the date of each update. When citing a Master Direction, the update date carries the same weight as the title.</w:t>
      </w:r>
    </w:p>
    <w:p w14:paraId="76F89E0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When a Master Direction is issued on a topic, the earlier Master Circular on that topic is withdrawn.</w:t>
      </w:r>
    </w:p>
    <w:p w14:paraId="76F89E0F"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7">
          <v:rect id="_x0000_i1026" style="width:0;height:1.5pt" o:hralign="center" o:hrstd="t" o:hr="t" fillcolor="#a0a0a0" stroked="f"/>
        </w:pict>
      </w:r>
    </w:p>
    <w:p w14:paraId="76F89E10" w14:textId="77777777" w:rsidR="00694466" w:rsidRPr="00AC3FC1" w:rsidRDefault="005560FE">
      <w:pPr>
        <w:pStyle w:val="Heading2"/>
        <w:jc w:val="both"/>
        <w:rPr>
          <w:rFonts w:ascii="Times New Roman" w:eastAsia="Times New Roman" w:hAnsi="Times New Roman" w:cs="Times New Roman"/>
          <w:sz w:val="24"/>
          <w:szCs w:val="24"/>
        </w:rPr>
      </w:pPr>
      <w:bookmarkStart w:id="6" w:name="bookmark=id.9so3dkn3n6w3" w:colFirst="0" w:colLast="0"/>
      <w:bookmarkEnd w:id="6"/>
      <w:r w:rsidRPr="00AC3FC1">
        <w:rPr>
          <w:rFonts w:ascii="Times New Roman" w:eastAsia="Times New Roman" w:hAnsi="Times New Roman" w:cs="Times New Roman"/>
          <w:sz w:val="24"/>
          <w:szCs w:val="24"/>
        </w:rPr>
        <w:t>PART B. FUNCTION OF FEMA</w:t>
      </w:r>
    </w:p>
    <w:p w14:paraId="76F89E1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following framing facts determine the default rules that follow.</w:t>
      </w:r>
    </w:p>
    <w:p w14:paraId="76F89E12" w14:textId="4DB8D323"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FEMA manages foreign exchange</w:t>
      </w:r>
      <w:r w:rsidRPr="00AC3FC1">
        <w:rPr>
          <w:rFonts w:ascii="Times New Roman" w:eastAsia="Times New Roman" w:hAnsi="Times New Roman" w:cs="Times New Roman"/>
        </w:rPr>
        <w:t xml:space="preserve">. </w:t>
      </w:r>
      <w:r w:rsidRPr="00AC3FC1">
        <w:rPr>
          <w:rFonts w:ascii="Times New Roman" w:eastAsia="Times New Roman" w:hAnsi="Times New Roman" w:cs="Times New Roman"/>
          <w:color w:val="000000"/>
        </w:rPr>
        <w:t xml:space="preserve">It replaced the Foreign Exchange Regulation Act, 1973 (FERA), and the change of terminology is substantive. FEMA is a civil statute. Contraventions are not offences, which is a significant departure from FERA. </w:t>
      </w:r>
      <w:r w:rsidR="00CF4591" w:rsidRPr="00AC3FC1">
        <w:rPr>
          <w:rFonts w:ascii="Times New Roman" w:eastAsia="Times New Roman" w:hAnsi="Times New Roman" w:cs="Times New Roman"/>
          <w:color w:val="000000"/>
        </w:rPr>
        <w:t>Contraventions attract monetary penalties. Imprisonment may arise only in connection with failure to pay a penalty imposed under FEMA.</w:t>
      </w:r>
    </w:p>
    <w:p w14:paraId="76F89E1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Stated objects: to facilitate external trade and payments, and to promote the orderly development and maintenance of the foreign-exchange market in India.</w:t>
      </w:r>
    </w:p>
    <w:p w14:paraId="76F89E1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Two enforcement bodies with distinct functions:</w:t>
      </w:r>
    </w:p>
    <w:p w14:paraId="76F89E1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RBI is the regulator. It frames regulations, authorises intermediaries, and handles compounding (voluntary settlement).</w:t>
      </w:r>
    </w:p>
    <w:p w14:paraId="76F89E1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Enforcement Directorate (ED) is the enforcer. It investigates and adjudicates contraventions. It sits under the Department of Revenue, Ministry of Finance.</w:t>
      </w:r>
    </w:p>
    <w:p w14:paraId="76F89E1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organising distinction of the Act: every cross-border transaction is either a current account transaction or a capital account transaction. Most downstream questions follow from this classification, because the two categories carry opposite default rules (see Part D). A transaction that cannot be classified into one of these categories cannot be matched to the correct instrument.</w:t>
      </w:r>
    </w:p>
    <w:p w14:paraId="76F89E18"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8">
          <v:rect id="_x0000_i1027" style="width:0;height:1.5pt" o:hralign="center" o:hrstd="t" o:hr="t" fillcolor="#a0a0a0" stroked="f"/>
        </w:pict>
      </w:r>
    </w:p>
    <w:p w14:paraId="76F89E19" w14:textId="77777777" w:rsidR="00694466" w:rsidRPr="00AC3FC1" w:rsidRDefault="005560FE">
      <w:pPr>
        <w:pStyle w:val="Heading2"/>
        <w:jc w:val="both"/>
        <w:rPr>
          <w:rFonts w:ascii="Times New Roman" w:eastAsia="Times New Roman" w:hAnsi="Times New Roman" w:cs="Times New Roman"/>
          <w:sz w:val="24"/>
          <w:szCs w:val="24"/>
        </w:rPr>
      </w:pPr>
      <w:bookmarkStart w:id="7" w:name="bookmark=id.pgf6qk3o6hjl" w:colFirst="0" w:colLast="0"/>
      <w:bookmarkEnd w:id="7"/>
      <w:r w:rsidRPr="00AC3FC1">
        <w:rPr>
          <w:rFonts w:ascii="Times New Roman" w:eastAsia="Times New Roman" w:hAnsi="Times New Roman" w:cs="Times New Roman"/>
          <w:sz w:val="24"/>
          <w:szCs w:val="24"/>
        </w:rPr>
        <w:t>PART C. THE PERSON AND RESIDENCY ONTOLOGY</w:t>
      </w:r>
    </w:p>
    <w:p w14:paraId="76F89E1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Residency under FEMA is the pivot on which the Act turns, and it does not follow ordinary intuition. This section sets out the classifications and the inferences they support.</w:t>
      </w:r>
    </w:p>
    <w:p w14:paraId="76F89E1B" w14:textId="77777777" w:rsidR="00694466" w:rsidRPr="00AC3FC1" w:rsidRDefault="005560FE">
      <w:pPr>
        <w:pStyle w:val="Heading3"/>
        <w:jc w:val="both"/>
        <w:rPr>
          <w:rFonts w:ascii="Times New Roman" w:eastAsia="Times New Roman" w:hAnsi="Times New Roman" w:cs="Times New Roman"/>
        </w:rPr>
      </w:pPr>
      <w:bookmarkStart w:id="8" w:name="bookmark=id.hd60dzdz3dkr" w:colFirst="0" w:colLast="0"/>
      <w:bookmarkEnd w:id="8"/>
      <w:r w:rsidRPr="00AC3FC1">
        <w:rPr>
          <w:rFonts w:ascii="Times New Roman" w:eastAsia="Times New Roman" w:hAnsi="Times New Roman" w:cs="Times New Roman"/>
        </w:rPr>
        <w:t>C.1 Residency is distinct from citizenship and nationality</w:t>
      </w:r>
    </w:p>
    <w:p w14:paraId="76F89E1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FEMA classifies every actor as one of two things:</w:t>
      </w:r>
    </w:p>
    <w:p w14:paraId="76F89E1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Person Resident in India (PRII).</w:t>
      </w:r>
    </w:p>
    <w:p w14:paraId="76F89E1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Person Resident Outside India (PROI), defined as anyone who is not a PRII.</w:t>
      </w:r>
    </w:p>
    <w:p w14:paraId="76F89E1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Residency is determined by presence and intention, not by passport. An Indian citizen may be a PROI; a foreign citizen may be a PRII. Residency should not be inferred from nationality.</w:t>
      </w:r>
    </w:p>
    <w:p w14:paraId="76F89E20" w14:textId="77777777" w:rsidR="00694466" w:rsidRPr="00AC3FC1" w:rsidRDefault="005560FE">
      <w:pPr>
        <w:pStyle w:val="Heading3"/>
        <w:jc w:val="both"/>
        <w:rPr>
          <w:rFonts w:ascii="Times New Roman" w:eastAsia="Times New Roman" w:hAnsi="Times New Roman" w:cs="Times New Roman"/>
        </w:rPr>
      </w:pPr>
      <w:bookmarkStart w:id="9" w:name="bookmark=id.sdiorfenabt4" w:colFirst="0" w:colLast="0"/>
      <w:bookmarkEnd w:id="9"/>
      <w:r w:rsidRPr="00AC3FC1">
        <w:rPr>
          <w:rFonts w:ascii="Times New Roman" w:eastAsia="Times New Roman" w:hAnsi="Times New Roman" w:cs="Times New Roman"/>
        </w:rPr>
        <w:t>C.2 Classification of a natural person</w:t>
      </w:r>
    </w:p>
    <w:p w14:paraId="76F89E2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person is a PRII if resident in India for more than 182 days during the preceding financial year, except where the person:</w:t>
      </w:r>
    </w:p>
    <w:p w14:paraId="76F89E2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left India for employment, business, or a stay of uncertain duration, in which case the person becomes a PROI (even if present for more than 182 days in the preceding year); or</w:t>
      </w:r>
      <w:r w:rsidRPr="00AC3FC1">
        <w:rPr>
          <w:rFonts w:ascii="Times New Roman" w:eastAsia="Times New Roman" w:hAnsi="Times New Roman" w:cs="Times New Roman"/>
        </w:rPr>
        <w:t xml:space="preserve"> </w:t>
      </w:r>
      <w:r w:rsidRPr="00AC3FC1">
        <w:rPr>
          <w:rFonts w:ascii="Times New Roman" w:eastAsia="Times New Roman" w:hAnsi="Times New Roman" w:cs="Times New Roman"/>
          <w:color w:val="000000"/>
        </w:rPr>
        <w:t>came to India for employment, business, or a stay of uncertain duration, in which case the person becomes a PRII (even if present for fewer than 182 days).</w:t>
      </w:r>
    </w:p>
    <w:p w14:paraId="76F89E2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Inferences for individuals:</w:t>
      </w:r>
    </w:p>
    <w:p w14:paraId="76F89E2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 engineer who moved abroad last month for a job becomes a PROI from the date of departure, regardless of the 182-day count. Intention to remain abroad changes residency immediately.</w:t>
      </w:r>
    </w:p>
    <w:p w14:paraId="76F89E2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foreign national who relocated to India to run a company is a PRII. The foreign passport is not relevant.</w:t>
      </w:r>
    </w:p>
    <w:p w14:paraId="0CE511A5" w14:textId="60C23894" w:rsidR="009A60AA" w:rsidRPr="00AC3FC1" w:rsidRDefault="009A60AA">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person who goes abroad for studies may be treated as a PROI where the circumstances indicate an intention to stay outside India for an uncertain period</w:t>
      </w:r>
    </w:p>
    <w:p w14:paraId="76F89E27" w14:textId="77777777" w:rsidR="00694466" w:rsidRPr="00AC3FC1" w:rsidRDefault="005560FE">
      <w:pPr>
        <w:pStyle w:val="Heading3"/>
        <w:jc w:val="both"/>
        <w:rPr>
          <w:rFonts w:ascii="Times New Roman" w:eastAsia="Times New Roman" w:hAnsi="Times New Roman" w:cs="Times New Roman"/>
        </w:rPr>
      </w:pPr>
      <w:bookmarkStart w:id="10" w:name="bookmark=id.ndchvm9mu4ev" w:colFirst="0" w:colLast="0"/>
      <w:bookmarkEnd w:id="10"/>
      <w:r w:rsidRPr="00AC3FC1">
        <w:rPr>
          <w:rFonts w:ascii="Times New Roman" w:eastAsia="Times New Roman" w:hAnsi="Times New Roman" w:cs="Times New Roman"/>
        </w:rPr>
        <w:t>C.3 Classification of a legal person</w:t>
      </w:r>
    </w:p>
    <w:p w14:paraId="76F89E2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 entities the test is the place of incorporation or registration.</w:t>
      </w:r>
    </w:p>
    <w:p w14:paraId="76F89E2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Incorporated in India: PRII, regardless of who owns or controls it. An Indian subsidiary wholly owned by a foreign parent remains a PRII.</w:t>
      </w:r>
    </w:p>
    <w:p w14:paraId="76F89E2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Incorporated outside India: PROI, regardless of who owns it. A company incorporated abroad but owned by Indian citizens remains a PROI.</w:t>
      </w:r>
    </w:p>
    <w:p w14:paraId="76F89E2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Inferences for entities, to be stated explicitly:</w:t>
      </w:r>
    </w:p>
    <w:p w14:paraId="76F89E2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company incorporated in the United States, Singapore, or any jurisdiction outside India is a person resident outside India.</w:t>
      </w:r>
    </w:p>
    <w:p w14:paraId="76F89E2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private limited company registered in India is a PRII, even where it is a wholly owned subsidiary of a foreign multinational.</w:t>
      </w:r>
    </w:p>
    <w:p w14:paraId="76F89E2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limited liability partnership formed in India is a PRII.</w:t>
      </w:r>
    </w:p>
    <w:p w14:paraId="3BB6A4A7" w14:textId="77777777" w:rsidR="00535826" w:rsidRPr="00AC3FC1" w:rsidRDefault="00535826">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 office, branch or agency outside India of a person resident in India is subject to the specific FEMA treatment applicable to such overseas establishments and should not be classified solely by location.</w:t>
      </w:r>
    </w:p>
    <w:p w14:paraId="76F89E30" w14:textId="1B0220F2"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The residency label attaches to both sides of a transaction, and the classification of the transaction depends on it. If the residency labels are wrong, every subsequent inference is wrong. Note the further point developed in Part G: an Indian company (a PRII) that is itself foreign-owned or </w:t>
      </w:r>
      <w:r w:rsidRPr="00AC3FC1">
        <w:rPr>
          <w:rFonts w:ascii="Times New Roman" w:eastAsia="Times New Roman" w:hAnsi="Times New Roman" w:cs="Times New Roman"/>
          <w:color w:val="000000"/>
        </w:rPr>
        <w:lastRenderedPageBreak/>
        <w:t>controlled is treated, for investment purposes, as if it were foreign when it invests further downstream. Residency and the ownership-and-control test are two separate lenses, and both must be applied.</w:t>
      </w:r>
    </w:p>
    <w:p w14:paraId="76F89E31" w14:textId="77777777" w:rsidR="00694466" w:rsidRPr="00AC3FC1" w:rsidRDefault="005560FE">
      <w:pPr>
        <w:pStyle w:val="Heading3"/>
        <w:jc w:val="both"/>
        <w:rPr>
          <w:rFonts w:ascii="Times New Roman" w:eastAsia="Times New Roman" w:hAnsi="Times New Roman" w:cs="Times New Roman"/>
        </w:rPr>
      </w:pPr>
      <w:bookmarkStart w:id="11" w:name="bookmark=id.hywyvbkqrygc" w:colFirst="0" w:colLast="0"/>
      <w:bookmarkEnd w:id="11"/>
      <w:r w:rsidRPr="00AC3FC1">
        <w:rPr>
          <w:rFonts w:ascii="Times New Roman" w:eastAsia="Times New Roman" w:hAnsi="Times New Roman" w:cs="Times New Roman"/>
        </w:rPr>
        <w:t>C.4 Sub-classes of PROI</w:t>
      </w:r>
    </w:p>
    <w:p w14:paraId="76F89E3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PROI is a category with sub-classes, and different instruments confer different rights on each.</w:t>
      </w:r>
    </w:p>
    <w:p w14:paraId="32B79985" w14:textId="77777777" w:rsidR="00765824" w:rsidRPr="00AC3FC1" w:rsidRDefault="00765824">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NRI (Non-Resident Indian): a Person Resident Outside India who is a citizen of India.</w:t>
      </w:r>
    </w:p>
    <w:p w14:paraId="4FA2A140" w14:textId="77777777" w:rsidR="00DA4947" w:rsidRPr="00AC3FC1" w:rsidRDefault="00DA4947">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OCI (Overseas Citizen of India): a foreign citizen who is registered as an OCI cardholder. FEMA provisions may confer certain investment and property rights on OCIs broadly similar to those available to NRIs, subject to the specific applicable rules.</w:t>
      </w:r>
    </w:p>
    <w:p w14:paraId="77C30AC7" w14:textId="77777777" w:rsidR="00DA4947" w:rsidRPr="00AC3FC1" w:rsidRDefault="00DA4947">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PIO (Person of Indian Origin): an older category whose separate OCI card scheme was merged into the OCI card scheme; references to PIO may therefore appear in legacy provisions or materials.</w:t>
      </w:r>
    </w:p>
    <w:p w14:paraId="76F89E3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FPI, FVCI, foreign central banks, and sovereign wealth funds: institutional PROI sub-classes with their own investment schedules under the Non-Debt Instruments Rules and the Debt Instruments Regulations.</w:t>
      </w:r>
    </w:p>
    <w:p w14:paraId="76F89E3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"NRI" implies a PROI who is an Indian citizen with enhanced deposit and property rights. "Foreign company" implies a PROI with no origin link and the narrowest set of rights. The sub-class determines what is permitted; PROI should not be treated as uniform.</w:t>
      </w:r>
    </w:p>
    <w:p w14:paraId="76F89E39" w14:textId="77777777" w:rsidR="00694466" w:rsidRPr="00AC3FC1" w:rsidRDefault="005560FE">
      <w:pPr>
        <w:pStyle w:val="Heading3"/>
        <w:jc w:val="both"/>
        <w:rPr>
          <w:rFonts w:ascii="Times New Roman" w:eastAsia="Times New Roman" w:hAnsi="Times New Roman" w:cs="Times New Roman"/>
        </w:rPr>
      </w:pPr>
      <w:bookmarkStart w:id="12" w:name="bookmark=id.rj9wlxoiei5v" w:colFirst="0" w:colLast="0"/>
      <w:bookmarkEnd w:id="12"/>
      <w:r w:rsidRPr="00AC3FC1">
        <w:rPr>
          <w:rFonts w:ascii="Times New Roman" w:eastAsia="Times New Roman" w:hAnsi="Times New Roman" w:cs="Times New Roman"/>
        </w:rPr>
        <w:t>C.5 R</w:t>
      </w:r>
      <w:sdt>
        <w:sdtPr>
          <w:rPr>
            <w:rFonts w:ascii="Times New Roman" w:hAnsi="Times New Roman" w:cs="Times New Roman"/>
          </w:rPr>
          <w:tag w:val="goog_rdk_0"/>
          <w:id w:val="1840513826"/>
        </w:sdtPr>
        <w:sdtEndPr/>
        <w:sdtContent>
          <w:commentRangeStart w:id="13"/>
        </w:sdtContent>
      </w:sdt>
      <w:r w:rsidRPr="00AC3FC1">
        <w:rPr>
          <w:rFonts w:ascii="Times New Roman" w:eastAsia="Times New Roman" w:hAnsi="Times New Roman" w:cs="Times New Roman"/>
        </w:rPr>
        <w:t>esidency of accounts and money</w:t>
      </w:r>
      <w:commentRangeEnd w:id="13"/>
      <w:r w:rsidRPr="00AC3FC1">
        <w:rPr>
          <w:rStyle w:val="CommentReference"/>
          <w:rFonts w:ascii="Times New Roman" w:eastAsia="Times New Roman" w:hAnsi="Times New Roman" w:cs="Times New Roman"/>
          <w:sz w:val="24"/>
          <w:szCs w:val="24"/>
        </w:rPr>
        <w:commentReference w:id="13"/>
      </w:r>
    </w:p>
    <w:p w14:paraId="76F89E3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Residency also attaches to accounts and to funds, which feeds the deposit ontology in Part F.6.</w:t>
      </w:r>
    </w:p>
    <w:p w14:paraId="01A37213" w14:textId="77777777" w:rsidR="00C55222" w:rsidRPr="00AC3FC1" w:rsidRDefault="00C55222">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NRE (Non-Resident External) account: a rupee-denominated account maintained by an eligible non-resident, with balances generally freely repatriable, subject to the applicable rules on permitted credits and debits.</w:t>
      </w:r>
    </w:p>
    <w:p w14:paraId="14620D73" w14:textId="77777777" w:rsidR="001B1B73" w:rsidRPr="00AC3FC1" w:rsidRDefault="001B1B73">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NRO (Non-Resident Ordinary) account: a rupee-denominated account used for permitted transactions in India; balances are subject to the applicable restrictions and conditions on repatriation.</w:t>
      </w:r>
    </w:p>
    <w:p w14:paraId="76F89E3D" w14:textId="3D4B5411"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FCNR(B) (Foreign Currency Non-Resident </w:t>
      </w:r>
      <w:r w:rsidR="005763AC" w:rsidRPr="00AC3FC1">
        <w:rPr>
          <w:rFonts w:ascii="Times New Roman" w:eastAsia="Times New Roman" w:hAnsi="Times New Roman" w:cs="Times New Roman"/>
          <w:color w:val="000000"/>
        </w:rPr>
        <w:t>(</w:t>
      </w:r>
      <w:r w:rsidRPr="00AC3FC1">
        <w:rPr>
          <w:rFonts w:ascii="Times New Roman" w:eastAsia="Times New Roman" w:hAnsi="Times New Roman" w:cs="Times New Roman"/>
          <w:color w:val="000000"/>
        </w:rPr>
        <w:t>Bank)</w:t>
      </w:r>
      <w:r w:rsidR="005763AC" w:rsidRPr="00AC3FC1">
        <w:rPr>
          <w:rFonts w:ascii="Times New Roman" w:eastAsia="Times New Roman" w:hAnsi="Times New Roman" w:cs="Times New Roman"/>
          <w:color w:val="000000"/>
        </w:rPr>
        <w:t>)</w:t>
      </w:r>
      <w:r w:rsidRPr="00AC3FC1">
        <w:rPr>
          <w:rFonts w:ascii="Times New Roman" w:eastAsia="Times New Roman" w:hAnsi="Times New Roman" w:cs="Times New Roman"/>
          <w:color w:val="000000"/>
        </w:rPr>
        <w:t xml:space="preserve"> account: </w:t>
      </w:r>
      <w:r w:rsidR="005763AC" w:rsidRPr="00AC3FC1">
        <w:rPr>
          <w:rFonts w:ascii="Times New Roman" w:eastAsia="Times New Roman" w:hAnsi="Times New Roman" w:cs="Times New Roman"/>
          <w:color w:val="000000"/>
        </w:rPr>
        <w:t>a foreign-currency-denominated term deposit maintained by an eligible non-resident.</w:t>
      </w:r>
    </w:p>
    <w:p w14:paraId="76F89E3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Repatriation: the buying or drawing of foreign exchange from an Authorised Dealer in India and remitting it outside India, or crediting it to a foreign-currency or non-resident account from which it may be sent out. "Freely repatriable" means the funds may leave India without further permission. Whether proceeds are repatriable is among the most frequently contested questions in any transaction.</w:t>
      </w:r>
    </w:p>
    <w:p w14:paraId="76F89E3F"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9">
          <v:rect id="_x0000_i1028" style="width:0;height:1.5pt" o:hralign="center" o:hrstd="t" o:hr="t" fillcolor="#a0a0a0" stroked="f"/>
        </w:pict>
      </w:r>
    </w:p>
    <w:p w14:paraId="76F89E40" w14:textId="77777777" w:rsidR="00694466" w:rsidRPr="00AC3FC1" w:rsidRDefault="005560FE">
      <w:pPr>
        <w:pStyle w:val="Heading2"/>
        <w:jc w:val="both"/>
        <w:rPr>
          <w:rFonts w:ascii="Times New Roman" w:eastAsia="Times New Roman" w:hAnsi="Times New Roman" w:cs="Times New Roman"/>
          <w:sz w:val="24"/>
          <w:szCs w:val="24"/>
        </w:rPr>
      </w:pPr>
      <w:bookmarkStart w:id="14" w:name="bookmark=id.207ics2feng9" w:colFirst="0" w:colLast="0"/>
      <w:bookmarkEnd w:id="14"/>
      <w:r w:rsidRPr="00AC3FC1">
        <w:rPr>
          <w:rFonts w:ascii="Times New Roman" w:eastAsia="Times New Roman" w:hAnsi="Times New Roman" w:cs="Times New Roman"/>
          <w:sz w:val="24"/>
          <w:szCs w:val="24"/>
        </w:rPr>
        <w:lastRenderedPageBreak/>
        <w:t>PART D. THE TRANSACTION ONTOLOGY</w:t>
      </w:r>
    </w:p>
    <w:p w14:paraId="76F89E4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Every transaction is either a current account transaction or a capital account transaction, and the two carry opposite defaults.</w:t>
      </w:r>
    </w:p>
    <w:p w14:paraId="76F89E42" w14:textId="77777777" w:rsidR="00694466" w:rsidRPr="00AC3FC1" w:rsidRDefault="005560FE">
      <w:pPr>
        <w:pStyle w:val="Heading3"/>
        <w:jc w:val="both"/>
        <w:rPr>
          <w:rFonts w:ascii="Times New Roman" w:eastAsia="Times New Roman" w:hAnsi="Times New Roman" w:cs="Times New Roman"/>
        </w:rPr>
      </w:pPr>
      <w:bookmarkStart w:id="15" w:name="bookmark=id.df7sx17hnbjg" w:colFirst="0" w:colLast="0"/>
      <w:bookmarkEnd w:id="15"/>
      <w:r w:rsidRPr="00AC3FC1">
        <w:rPr>
          <w:rFonts w:ascii="Times New Roman" w:eastAsia="Times New Roman" w:hAnsi="Times New Roman" w:cs="Times New Roman"/>
        </w:rPr>
        <w:t>D.1 The two categories and their defaults</w:t>
      </w:r>
    </w:p>
    <w:tbl>
      <w:tblPr>
        <w:tblStyle w:val="a0"/>
        <w:tblW w:w="7920" w:type="dxa"/>
        <w:tblInd w:w="-108" w:type="dxa"/>
        <w:tblLayout w:type="fixed"/>
        <w:tblLook w:val="0020" w:firstRow="1" w:lastRow="0" w:firstColumn="0" w:lastColumn="0" w:noHBand="0" w:noVBand="0"/>
      </w:tblPr>
      <w:tblGrid>
        <w:gridCol w:w="2640"/>
        <w:gridCol w:w="2640"/>
        <w:gridCol w:w="2640"/>
      </w:tblGrid>
      <w:tr w:rsidR="00694466" w:rsidRPr="00AC3FC1" w14:paraId="76F89E46" w14:textId="77777777" w:rsidTr="0069446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F89E43" w14:textId="77777777" w:rsidR="00694466" w:rsidRPr="00AC3FC1" w:rsidRDefault="00694466">
            <w:pPr>
              <w:pBdr>
                <w:top w:val="nil"/>
                <w:left w:val="nil"/>
                <w:bottom w:val="nil"/>
                <w:right w:val="nil"/>
                <w:between w:val="nil"/>
              </w:pBdr>
              <w:spacing w:before="36" w:after="36"/>
              <w:jc w:val="both"/>
              <w:rPr>
                <w:rFonts w:ascii="Times New Roman" w:eastAsia="Times New Roman" w:hAnsi="Times New Roman" w:cs="Times New Roman"/>
                <w:color w:val="000000"/>
              </w:rPr>
            </w:pPr>
          </w:p>
        </w:tc>
        <w:tc>
          <w:tcPr>
            <w:tcW w:w="2640" w:type="dxa"/>
          </w:tcPr>
          <w:p w14:paraId="76F89E4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Current account transaction</w:t>
            </w:r>
          </w:p>
        </w:tc>
        <w:tc>
          <w:tcPr>
            <w:tcW w:w="2640" w:type="dxa"/>
          </w:tcPr>
          <w:p w14:paraId="76F89E4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Capital account transaction</w:t>
            </w:r>
          </w:p>
        </w:tc>
      </w:tr>
      <w:tr w:rsidR="00694466" w:rsidRPr="00AC3FC1" w14:paraId="76F89E4A" w14:textId="77777777" w:rsidTr="00694466">
        <w:tc>
          <w:tcPr>
            <w:tcW w:w="2640" w:type="dxa"/>
          </w:tcPr>
          <w:p w14:paraId="76F89E4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Governed by</w:t>
            </w:r>
          </w:p>
        </w:tc>
        <w:tc>
          <w:tcPr>
            <w:tcW w:w="2640" w:type="dxa"/>
          </w:tcPr>
          <w:p w14:paraId="76F89E4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Rules (Central Government): Current Account Transactions Rules, 2000</w:t>
            </w:r>
          </w:p>
        </w:tc>
        <w:tc>
          <w:tcPr>
            <w:tcW w:w="2640" w:type="dxa"/>
          </w:tcPr>
          <w:p w14:paraId="76F89E4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Regulations (RBI), and the Non-Debt Instruments Rules for equity</w:t>
            </w:r>
          </w:p>
        </w:tc>
      </w:tr>
      <w:tr w:rsidR="00694466" w:rsidRPr="00AC3FC1" w14:paraId="76F89E4E" w14:textId="77777777" w:rsidTr="00694466">
        <w:tc>
          <w:tcPr>
            <w:tcW w:w="2640" w:type="dxa"/>
          </w:tcPr>
          <w:p w14:paraId="76F89E4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Default</w:t>
            </w:r>
          </w:p>
        </w:tc>
        <w:tc>
          <w:tcPr>
            <w:tcW w:w="2640" w:type="dxa"/>
          </w:tcPr>
          <w:p w14:paraId="76F89E4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Permitted unless expressly restricted or prohibited</w:t>
            </w:r>
          </w:p>
        </w:tc>
        <w:tc>
          <w:tcPr>
            <w:tcW w:w="2640" w:type="dxa"/>
          </w:tcPr>
          <w:p w14:paraId="76F89E4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Prohibited unless expressly permitted</w:t>
            </w:r>
          </w:p>
        </w:tc>
      </w:tr>
      <w:tr w:rsidR="00694466" w:rsidRPr="00AC3FC1" w14:paraId="76F89E52" w14:textId="77777777" w:rsidTr="00694466">
        <w:tc>
          <w:tcPr>
            <w:tcW w:w="2640" w:type="dxa"/>
          </w:tcPr>
          <w:p w14:paraId="76F89E4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Test</w:t>
            </w:r>
          </w:p>
        </w:tc>
        <w:tc>
          <w:tcPr>
            <w:tcW w:w="2640" w:type="dxa"/>
          </w:tcPr>
          <w:p w14:paraId="76F89E50" w14:textId="6F18AE6F" w:rsidR="00694466" w:rsidRPr="00AC3FC1" w:rsidRDefault="00EE42D5">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transaction that is not a capital account transaction and relates to payments of a current nature, such as payments connected with foreign trade, services, interest, living expenses and remittances.</w:t>
            </w:r>
          </w:p>
        </w:tc>
        <w:tc>
          <w:tcPr>
            <w:tcW w:w="2640" w:type="dxa"/>
          </w:tcPr>
          <w:p w14:paraId="76F89E51" w14:textId="41EFC6DF" w:rsidR="00694466" w:rsidRPr="00AC3FC1" w:rsidRDefault="00B649B6">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transaction that alters the assets or liabilities, including contingent liabilities, outside India of persons resident in India, or the assets or liabilities in India of persons resident outside India.</w:t>
            </w:r>
          </w:p>
        </w:tc>
      </w:tr>
      <w:tr w:rsidR="00694466" w:rsidRPr="00AC3FC1" w14:paraId="76F89E56" w14:textId="77777777" w:rsidTr="00694466">
        <w:tc>
          <w:tcPr>
            <w:tcW w:w="2640" w:type="dxa"/>
          </w:tcPr>
          <w:p w14:paraId="76F89E53"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Ordinary examples</w:t>
            </w:r>
          </w:p>
        </w:tc>
        <w:tc>
          <w:tcPr>
            <w:tcW w:w="2640" w:type="dxa"/>
          </w:tcPr>
          <w:p w14:paraId="76F89E5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Payments for travel, imports, fees, dividends</w:t>
            </w:r>
          </w:p>
        </w:tc>
        <w:tc>
          <w:tcPr>
            <w:tcW w:w="2640" w:type="dxa"/>
          </w:tcPr>
          <w:p w14:paraId="76F89E5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Shares, property, loans, deposits</w:t>
            </w:r>
          </w:p>
        </w:tc>
      </w:tr>
    </w:tbl>
    <w:p w14:paraId="76F89E5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if a transaction alters an asset or liability position across the border (acquiring foreign shares, taking a foreign loan, acquiring property abroad), it is a capital account transaction and is presumptively prohibited; the enabling regulation must be found. If the transaction is a payment for goods, services, or living expenses (an import invoice, tuition, a medical bill, business travel, a dividend remittance), it is a current account transaction and is presumptively free; only the restricted and prohibited lists need to be checked.</w:t>
      </w:r>
    </w:p>
    <w:p w14:paraId="76F89E58" w14:textId="77777777" w:rsidR="00694466" w:rsidRPr="00AC3FC1" w:rsidRDefault="005560FE">
      <w:pPr>
        <w:pStyle w:val="Heading3"/>
        <w:jc w:val="both"/>
        <w:rPr>
          <w:rFonts w:ascii="Times New Roman" w:eastAsia="Times New Roman" w:hAnsi="Times New Roman" w:cs="Times New Roman"/>
        </w:rPr>
      </w:pPr>
      <w:bookmarkStart w:id="16" w:name="bookmark=id.z3nbawk60pta" w:colFirst="0" w:colLast="0"/>
      <w:bookmarkEnd w:id="16"/>
      <w:r w:rsidRPr="00AC3FC1">
        <w:rPr>
          <w:rFonts w:ascii="Times New Roman" w:eastAsia="Times New Roman" w:hAnsi="Times New Roman" w:cs="Times New Roman"/>
        </w:rPr>
        <w:t xml:space="preserve">D.2 </w:t>
      </w:r>
      <w:sdt>
        <w:sdtPr>
          <w:rPr>
            <w:rFonts w:ascii="Times New Roman" w:hAnsi="Times New Roman" w:cs="Times New Roman"/>
          </w:rPr>
          <w:tag w:val="goog_rdk_1"/>
          <w:id w:val="-1693801672"/>
        </w:sdtPr>
        <w:sdtEndPr/>
        <w:sdtContent>
          <w:commentRangeStart w:id="17"/>
        </w:sdtContent>
      </w:sdt>
      <w:r w:rsidRPr="00AC3FC1">
        <w:rPr>
          <w:rFonts w:ascii="Times New Roman" w:eastAsia="Times New Roman" w:hAnsi="Times New Roman" w:cs="Times New Roman"/>
        </w:rPr>
        <w:t>Current account transactions</w:t>
      </w:r>
      <w:commentRangeEnd w:id="17"/>
      <w:r w:rsidRPr="00AC3FC1">
        <w:rPr>
          <w:rStyle w:val="CommentReference"/>
          <w:rFonts w:ascii="Times New Roman" w:eastAsia="Times New Roman" w:hAnsi="Times New Roman" w:cs="Times New Roman"/>
          <w:sz w:val="24"/>
          <w:szCs w:val="24"/>
        </w:rPr>
        <w:commentReference w:id="17"/>
      </w:r>
    </w:p>
    <w:p w14:paraId="76F89E5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Because the default is permission, the law operates by listing exceptions in three schedules to the Current Account Transactions Rules, 2000.</w:t>
      </w:r>
    </w:p>
    <w:p w14:paraId="76F89E5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Schedule I: prohibited transactions (for example, remittance of lottery winnings, income from racing, and the purchase of lottery tickets or proscribed publications).</w:t>
      </w:r>
    </w:p>
    <w:p w14:paraId="76F89E5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Schedule II: transactions requiring prior Government approval (for example, certain cultural tours and advertisements in foreign media by specified bodies).</w:t>
      </w:r>
    </w:p>
    <w:p w14:paraId="76F89E5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Schedule III: transactions requiring RBI approval above monetary limits, and transactions falling under the Liberalised Remittance Scheme for resident individuals.</w:t>
      </w:r>
    </w:p>
    <w:p w14:paraId="68D517B3" w14:textId="6F9A5AF2" w:rsidR="00C15E1A" w:rsidRPr="00AC3FC1" w:rsidRDefault="00C15E1A">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Inference: for a current account item, first determine whether it is prohibited under Schedule I, requires prior Government approval under Schedule II, or requires RBI approval/otherwise falls within the conditions specified in Schedule III. If none of these restrictions applies, the transaction is generally permitted, subject to compliance with any other applicable FEMA requirements and the prescribed banking channels.</w:t>
      </w:r>
    </w:p>
    <w:p w14:paraId="76F89E5E" w14:textId="77777777" w:rsidR="00694466" w:rsidRPr="00AC3FC1" w:rsidRDefault="005560FE">
      <w:pPr>
        <w:pStyle w:val="Heading3"/>
        <w:jc w:val="both"/>
        <w:rPr>
          <w:rFonts w:ascii="Times New Roman" w:eastAsia="Times New Roman" w:hAnsi="Times New Roman" w:cs="Times New Roman"/>
        </w:rPr>
      </w:pPr>
      <w:r w:rsidRPr="00AC3FC1">
        <w:rPr>
          <w:rFonts w:ascii="Times New Roman" w:eastAsia="Times New Roman" w:hAnsi="Times New Roman" w:cs="Times New Roman"/>
        </w:rPr>
        <w:t xml:space="preserve">D.3 </w:t>
      </w:r>
      <w:sdt>
        <w:sdtPr>
          <w:rPr>
            <w:rFonts w:ascii="Times New Roman" w:hAnsi="Times New Roman" w:cs="Times New Roman"/>
          </w:rPr>
          <w:tag w:val="goog_rdk_2"/>
          <w:id w:val="1836506244"/>
        </w:sdtPr>
        <w:sdtEndPr/>
        <w:sdtContent>
          <w:commentRangeStart w:id="18"/>
        </w:sdtContent>
      </w:sdt>
      <w:r w:rsidRPr="00AC3FC1">
        <w:rPr>
          <w:rFonts w:ascii="Times New Roman" w:eastAsia="Times New Roman" w:hAnsi="Times New Roman" w:cs="Times New Roman"/>
        </w:rPr>
        <w:t>The Liberalised Remittance Scheme (LRS)</w:t>
      </w:r>
      <w:commentRangeEnd w:id="18"/>
      <w:r w:rsidRPr="00AC3FC1">
        <w:rPr>
          <w:rStyle w:val="CommentReference"/>
          <w:rFonts w:ascii="Times New Roman" w:eastAsia="Times New Roman" w:hAnsi="Times New Roman" w:cs="Times New Roman"/>
          <w:sz w:val="24"/>
          <w:szCs w:val="24"/>
        </w:rPr>
        <w:commentReference w:id="18"/>
      </w:r>
    </w:p>
    <w:p w14:paraId="76F89E5F" w14:textId="151B4A80"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LRS permits a resident individual to remit up to USD 250,000 per financial year [verify: live source] for a combined basket of permitted current and capital account transactions (travel, education, gifts, acquisition of shares or property abroad, and maintenance of relatives). </w:t>
      </w:r>
      <w:r w:rsidR="00D07B18" w:rsidRPr="00AC3FC1">
        <w:rPr>
          <w:rFonts w:ascii="Times New Roman" w:eastAsia="Times New Roman" w:hAnsi="Times New Roman" w:cs="Times New Roman"/>
          <w:color w:val="000000"/>
        </w:rPr>
        <w:t>LRS is a facility for resident individuals to make permitted remittances abroad for current account or capital account transactions, or a combination of both, subject to the prescribed annual ceiling and conditions</w:t>
      </w:r>
      <w:r w:rsidRPr="00AC3FC1">
        <w:rPr>
          <w:rFonts w:ascii="Times New Roman" w:eastAsia="Times New Roman" w:hAnsi="Times New Roman" w:cs="Times New Roman"/>
          <w:color w:val="000000"/>
        </w:rPr>
        <w:t xml:space="preserve"> </w:t>
      </w:r>
      <w:r w:rsidR="00D96618" w:rsidRPr="00AC3FC1">
        <w:rPr>
          <w:rFonts w:ascii="Times New Roman" w:eastAsia="Times New Roman" w:hAnsi="Times New Roman" w:cs="Times New Roman"/>
          <w:color w:val="000000"/>
        </w:rPr>
        <w:t>The ceiling is decision-critical because it determines whether the remittance falls within the general LRS facility; any transaction outside the permitted LRS framework must be examined under the applicable FEMA provisions.</w:t>
      </w:r>
    </w:p>
    <w:p w14:paraId="76F89E6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Inferences:</w:t>
      </w:r>
    </w:p>
    <w:p w14:paraId="76F89E6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LRS applies only to individuals who are PRII. It does not apply to companies or LLPs.</w:t>
      </w:r>
    </w:p>
    <w:p w14:paraId="76F89E6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LRS cannot be used to achieve indirectly what is prohibited; a Schedule I prohibited remittance cannot be routed through it.</w:t>
      </w:r>
    </w:p>
    <w:p w14:paraId="76F89E6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Overseas investment by a resident individual (acquiring foreign shares) is a capital-account use of LRS and also engages the Overseas Investment framework (Part F.2).</w:t>
      </w:r>
    </w:p>
    <w:p w14:paraId="76F89E64" w14:textId="77777777" w:rsidR="00694466" w:rsidRPr="00AC3FC1" w:rsidRDefault="005560FE">
      <w:pPr>
        <w:pStyle w:val="Heading3"/>
        <w:jc w:val="both"/>
        <w:rPr>
          <w:rFonts w:ascii="Times New Roman" w:eastAsia="Times New Roman" w:hAnsi="Times New Roman" w:cs="Times New Roman"/>
        </w:rPr>
      </w:pPr>
      <w:bookmarkStart w:id="19" w:name="bookmark=id.xz0iq0lybdfc" w:colFirst="0" w:colLast="0"/>
      <w:bookmarkEnd w:id="19"/>
      <w:r w:rsidRPr="00AC3FC1">
        <w:rPr>
          <w:rFonts w:ascii="Times New Roman" w:eastAsia="Times New Roman" w:hAnsi="Times New Roman" w:cs="Times New Roman"/>
        </w:rPr>
        <w:t xml:space="preserve">D.4 </w:t>
      </w:r>
      <w:sdt>
        <w:sdtPr>
          <w:rPr>
            <w:rFonts w:ascii="Times New Roman" w:hAnsi="Times New Roman" w:cs="Times New Roman"/>
          </w:rPr>
          <w:tag w:val="goog_rdk_3"/>
          <w:id w:val="-532172189"/>
        </w:sdtPr>
        <w:sdtEndPr/>
        <w:sdtContent>
          <w:commentRangeStart w:id="20"/>
        </w:sdtContent>
      </w:sdt>
      <w:r w:rsidRPr="00AC3FC1">
        <w:rPr>
          <w:rFonts w:ascii="Times New Roman" w:eastAsia="Times New Roman" w:hAnsi="Times New Roman" w:cs="Times New Roman"/>
        </w:rPr>
        <w:t>Capital account transactions</w:t>
      </w:r>
      <w:commentRangeEnd w:id="20"/>
      <w:r w:rsidRPr="00AC3FC1">
        <w:rPr>
          <w:rStyle w:val="CommentReference"/>
          <w:rFonts w:ascii="Times New Roman" w:eastAsia="Times New Roman" w:hAnsi="Times New Roman" w:cs="Times New Roman"/>
          <w:sz w:val="24"/>
          <w:szCs w:val="24"/>
        </w:rPr>
        <w:commentReference w:id="20"/>
      </w:r>
    </w:p>
    <w:p w14:paraId="76F89E6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Because the default is prohibition, the law operates by listing what is permitted in the Permissible Capital Account Transactions Regulations, 2000, which contains two lists.</w:t>
      </w:r>
    </w:p>
    <w:p w14:paraId="76F89E6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Schedule I: permissible capital account transactions of a PRII (for example, investment abroad, foreign-currency loans, and acquisition of property outside India).</w:t>
      </w:r>
    </w:p>
    <w:p w14:paraId="76F89E6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Schedule II: permissible capital account transactions of a PROI (for example, investment in India, acquisition of property in India, and holding deposits).</w:t>
      </w:r>
    </w:p>
    <w:p w14:paraId="76F89E6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Each permitted item is then detailed in a dedicated Regulation or Rule. The 2000 Regulation is the gateway list; the operational detail resides in the subject-matter instruments below.</w:t>
      </w:r>
    </w:p>
    <w:p w14:paraId="090BFF82" w14:textId="17F6A6CB" w:rsidR="00BA2BAB" w:rsidRPr="00AC3FC1" w:rsidRDefault="00BA2BAB">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for a capital account transaction, identify the applicable permission under FEMA and the relevant Rules or Regulations. If the transaction is permitted, the conditions prescribed by the applicable instrument must be satisfied. A transaction that is not permitted under the applicable FEMA framework cannot be undertaken merely by obtaining RBI approval unless the relevant provision specifically provides for such approval.</w:t>
      </w:r>
    </w:p>
    <w:p w14:paraId="76F89E6A"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A">
          <v:rect id="_x0000_i1029" style="width:0;height:1.5pt" o:hralign="center" o:hrstd="t" o:hr="t" fillcolor="#a0a0a0" stroked="f"/>
        </w:pict>
      </w:r>
    </w:p>
    <w:p w14:paraId="76F89E6B" w14:textId="77777777" w:rsidR="00694466" w:rsidRPr="00AC3FC1" w:rsidRDefault="005560FE">
      <w:pPr>
        <w:pStyle w:val="Heading2"/>
        <w:jc w:val="both"/>
        <w:rPr>
          <w:rFonts w:ascii="Times New Roman" w:eastAsia="Times New Roman" w:hAnsi="Times New Roman" w:cs="Times New Roman"/>
          <w:sz w:val="24"/>
          <w:szCs w:val="24"/>
        </w:rPr>
      </w:pPr>
      <w:bookmarkStart w:id="21" w:name="bookmark=id.87kyx1a0do8a" w:colFirst="0" w:colLast="0"/>
      <w:bookmarkEnd w:id="21"/>
      <w:r w:rsidRPr="00AC3FC1">
        <w:rPr>
          <w:rFonts w:ascii="Times New Roman" w:eastAsia="Times New Roman" w:hAnsi="Times New Roman" w:cs="Times New Roman"/>
          <w:sz w:val="24"/>
          <w:szCs w:val="24"/>
        </w:rPr>
        <w:lastRenderedPageBreak/>
        <w:t>PART E. THE INTERMEDIARY ONTOLOGY (AUTHORISED PERSONS)</w:t>
      </w:r>
    </w:p>
    <w:p w14:paraId="76F89E6C" w14:textId="1A6FC1DE"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Few cross-border transactions occur directly between the parties and the state. </w:t>
      </w:r>
      <w:r w:rsidR="00443848" w:rsidRPr="00AC3FC1">
        <w:rPr>
          <w:rFonts w:ascii="Times New Roman" w:eastAsia="Times New Roman" w:hAnsi="Times New Roman" w:cs="Times New Roman"/>
          <w:color w:val="000000"/>
        </w:rPr>
        <w:t>They are channelled through an Authorised Person, a person authorised by the RBI under Section 10 of FEMA to deal in foreign exchange or foreign securities.</w:t>
      </w:r>
      <w:r w:rsidRPr="00AC3FC1">
        <w:rPr>
          <w:rFonts w:ascii="Times New Roman" w:eastAsia="Times New Roman" w:hAnsi="Times New Roman" w:cs="Times New Roman"/>
          <w:color w:val="000000"/>
        </w:rPr>
        <w:t>Understanding this layer identifies who executes and screens a transaction.</w:t>
      </w:r>
    </w:p>
    <w:p w14:paraId="76F89E6D" w14:textId="77777777" w:rsidR="00694466" w:rsidRPr="00AC3FC1" w:rsidRDefault="005560FE">
      <w:pPr>
        <w:pStyle w:val="Heading3"/>
        <w:jc w:val="both"/>
        <w:rPr>
          <w:rFonts w:ascii="Times New Roman" w:eastAsia="Times New Roman" w:hAnsi="Times New Roman" w:cs="Times New Roman"/>
        </w:rPr>
      </w:pPr>
      <w:bookmarkStart w:id="22" w:name="bookmark=id.oday46w0xp2k" w:colFirst="0" w:colLast="0"/>
      <w:bookmarkEnd w:id="22"/>
      <w:r w:rsidRPr="00AC3FC1">
        <w:rPr>
          <w:rFonts w:ascii="Times New Roman" w:eastAsia="Times New Roman" w:hAnsi="Times New Roman" w:cs="Times New Roman"/>
        </w:rPr>
        <w:t xml:space="preserve">E.1 </w:t>
      </w:r>
      <w:sdt>
        <w:sdtPr>
          <w:rPr>
            <w:rFonts w:ascii="Times New Roman" w:hAnsi="Times New Roman" w:cs="Times New Roman"/>
          </w:rPr>
          <w:tag w:val="goog_rdk_4"/>
          <w:id w:val="1333833776"/>
        </w:sdtPr>
        <w:sdtEndPr/>
        <w:sdtContent>
          <w:commentRangeStart w:id="23"/>
        </w:sdtContent>
      </w:sdt>
      <w:r w:rsidRPr="00AC3FC1">
        <w:rPr>
          <w:rFonts w:ascii="Times New Roman" w:eastAsia="Times New Roman" w:hAnsi="Times New Roman" w:cs="Times New Roman"/>
        </w:rPr>
        <w:t>Classes of Authorised Person</w:t>
      </w:r>
      <w:commentRangeEnd w:id="23"/>
      <w:r w:rsidRPr="00AC3FC1">
        <w:rPr>
          <w:rStyle w:val="CommentReference"/>
          <w:rFonts w:ascii="Times New Roman" w:eastAsia="Times New Roman" w:hAnsi="Times New Roman" w:cs="Times New Roman"/>
          <w:sz w:val="24"/>
          <w:szCs w:val="24"/>
        </w:rPr>
        <w:commentReference w:id="23"/>
      </w:r>
    </w:p>
    <w:p w14:paraId="76F89E6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Governed by the Authorised Persons Regulations, 2026 (which replaced the earlier framework) and the Money Changing Activities Master Direction.</w:t>
      </w:r>
    </w:p>
    <w:p w14:paraId="72188716" w14:textId="320347D6" w:rsidR="00BD65A6" w:rsidRPr="00AC3FC1" w:rsidRDefault="00BD65A6">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AD Category-I (Authorised Dealer Category-I): authorised entities, principally banks, permitted to undertake a broad range of permitted current and capital account transactions, subject to their authorisation and the applicable FEMA framework.</w:t>
      </w:r>
    </w:p>
    <w:p w14:paraId="76F89E70" w14:textId="3842B4A2"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AD Category-II: able to handle a specified range of non-trade current account transactions and limited trade transactions up to prescribed limits, together with money-changing.</w:t>
      </w:r>
    </w:p>
    <w:p w14:paraId="76F89E7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AD Category-III: restricted, specified entities.</w:t>
      </w:r>
    </w:p>
    <w:p w14:paraId="76F89E7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Full-Fledged Money Changers (FFMC): able to buy and sell foreign currency for private and business travel. The RBI is phasing out fresh FFMC authorisations under the 2026 regime.</w:t>
      </w:r>
    </w:p>
    <w:p w14:paraId="76F89E7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Forex Correspondents (FxC): a principal-agent model introduced by the 2026 Regulations, replacing the former franchisee model, which is being wound down over two years. AD Category-I and Category-II entities appoint Forex Correspondents to conduct restricted money-changing as their agents.</w:t>
      </w:r>
    </w:p>
    <w:p w14:paraId="76F89E7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Inferences:</w:t>
      </w:r>
    </w:p>
    <w:p w14:paraId="34C90C79" w14:textId="77777777" w:rsidR="006D5135" w:rsidRPr="00AC3FC1" w:rsidRDefault="006D5135">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Many FEMA transactions involving companies, including FDI, ECB and trade transactions, are routed through an AD Category-I bank, subject to the applicable FEMA framework.</w:t>
      </w:r>
    </w:p>
    <w:p w14:paraId="76F89E76" w14:textId="348A32BB"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currency-exchange kiosk at an airport is an FFMC or a Forex Correspondent, not an AD bank; it can change currency but cannot execute an FDI filing.</w:t>
      </w:r>
    </w:p>
    <w:p w14:paraId="76F89E7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Authorised Person is the reporting entity for most filings and is legally obliged to verify that a transaction is FEMA-compliant before executing it. It is therefore both executor and first-line compliance check. The 2026 trade regime expands this gatekeeper role: AD banks now exercise wider discretion to grant extensions, approve write-offs, and close monitoring-system entries without prior RBI reference.</w:t>
      </w:r>
    </w:p>
    <w:p w14:paraId="76F89E78" w14:textId="77777777" w:rsidR="00694466" w:rsidRPr="00AC3FC1" w:rsidRDefault="005560FE">
      <w:pPr>
        <w:pStyle w:val="Heading3"/>
        <w:jc w:val="both"/>
        <w:rPr>
          <w:rFonts w:ascii="Times New Roman" w:eastAsia="Times New Roman" w:hAnsi="Times New Roman" w:cs="Times New Roman"/>
        </w:rPr>
      </w:pPr>
      <w:bookmarkStart w:id="24" w:name="bookmark=id.rif45b1ozc92" w:colFirst="0" w:colLast="0"/>
      <w:bookmarkEnd w:id="24"/>
      <w:r w:rsidRPr="00AC3FC1">
        <w:rPr>
          <w:rFonts w:ascii="Times New Roman" w:eastAsia="Times New Roman" w:hAnsi="Times New Roman" w:cs="Times New Roman"/>
        </w:rPr>
        <w:t>E.2 The Authorised Person as reporting nexus</w:t>
      </w:r>
    </w:p>
    <w:p w14:paraId="510D53E9" w14:textId="77777777" w:rsidR="00026E75" w:rsidRPr="00AC3FC1" w:rsidRDefault="00026E75">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Significant FEMA transactions may involve reporting by the parties themselves or through the Authorised Person, using the applicable RBI reporting system</w:t>
      </w:r>
    </w:p>
    <w:p w14:paraId="76F89E7A" w14:textId="2BFE2CE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FIRMS (Foreign Investment Reporting and Management System): FDI filings such as FC-GPR and FC-TRS.</w:t>
      </w:r>
    </w:p>
    <w:p w14:paraId="76F89E7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FETERS: balance-of-payments transaction reporting by banks.</w:t>
      </w:r>
    </w:p>
    <w:p w14:paraId="2CEF7C37" w14:textId="7A7D1D26" w:rsidR="008F2DE5" w:rsidRPr="00AC3FC1" w:rsidRDefault="008F2DE5">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CIMS (Centralised Information Management System): an RBI data and reporting platform used for specified regulatory reporting.</w:t>
      </w:r>
    </w:p>
    <w:p w14:paraId="76F89E7D" w14:textId="59B9188B"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EDPMS and IDPMS: the export and import data processing and monitoring systems, reconciled by AD banks for trade transactions.</w:t>
      </w:r>
    </w:p>
    <w:p w14:paraId="76F89E7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ECB returns (Form ECB, Form ECB-2): external commercial borrowings.</w:t>
      </w:r>
    </w:p>
    <w:p w14:paraId="76F89E7F"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B">
          <v:rect id="_x0000_i1030" style="width:0;height:1.5pt" o:hralign="center" o:hrstd="t" o:hr="t" fillcolor="#a0a0a0" stroked="f"/>
        </w:pict>
      </w:r>
    </w:p>
    <w:p w14:paraId="76F89E80" w14:textId="77777777" w:rsidR="00694466" w:rsidRPr="00AC3FC1" w:rsidRDefault="005560FE">
      <w:pPr>
        <w:pStyle w:val="Heading2"/>
        <w:jc w:val="both"/>
        <w:rPr>
          <w:rFonts w:ascii="Times New Roman" w:eastAsia="Times New Roman" w:hAnsi="Times New Roman" w:cs="Times New Roman"/>
          <w:sz w:val="24"/>
          <w:szCs w:val="24"/>
        </w:rPr>
      </w:pPr>
      <w:bookmarkStart w:id="25" w:name="bookmark=id.cwiiba8ixxjv" w:colFirst="0" w:colLast="0"/>
      <w:bookmarkEnd w:id="25"/>
      <w:r w:rsidRPr="00AC3FC1">
        <w:rPr>
          <w:rFonts w:ascii="Times New Roman" w:eastAsia="Times New Roman" w:hAnsi="Times New Roman" w:cs="Times New Roman"/>
          <w:sz w:val="24"/>
          <w:szCs w:val="24"/>
        </w:rPr>
        <w:t>PART F. THE SUBJECT-MATTER DOMAINS</w:t>
      </w:r>
    </w:p>
    <w:p w14:paraId="76F89E8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Each activity a client seeks to undertake maps to a cluster of Rule, Regulation, and Master Direction. Identifying the domain locates the instruments. Each item below is attached to its trigger. The operational mechanics of each domain are set out in Part M.</w:t>
      </w:r>
    </w:p>
    <w:p w14:paraId="76F89E82" w14:textId="77777777" w:rsidR="00694466" w:rsidRPr="00AC3FC1" w:rsidRDefault="005560FE">
      <w:pPr>
        <w:pStyle w:val="Heading3"/>
        <w:jc w:val="both"/>
        <w:rPr>
          <w:rFonts w:ascii="Times New Roman" w:eastAsia="Times New Roman" w:hAnsi="Times New Roman" w:cs="Times New Roman"/>
        </w:rPr>
      </w:pPr>
      <w:bookmarkStart w:id="26" w:name="bookmark=id.rjwy997udjm" w:colFirst="0" w:colLast="0"/>
      <w:bookmarkEnd w:id="26"/>
      <w:r w:rsidRPr="00AC3FC1">
        <w:rPr>
          <w:rFonts w:ascii="Times New Roman" w:eastAsia="Times New Roman" w:hAnsi="Times New Roman" w:cs="Times New Roman"/>
        </w:rPr>
        <w:t>F.1 Inbound investment: FDI</w:t>
      </w:r>
    </w:p>
    <w:p w14:paraId="76F89E8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PROI acquires equity or non-debt instruments of an Indian entity.</w:t>
      </w:r>
    </w:p>
    <w:p w14:paraId="76F89E8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w:t>
      </w:r>
    </w:p>
    <w:p w14:paraId="7941C9E1" w14:textId="77777777" w:rsidR="0000362F" w:rsidRPr="00AC3FC1" w:rsidRDefault="0000362F">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Exchange Management (Non-Debt Instruments) Rules, 2019: the principal substantive Rules governing foreign investment in non-debt instruments, including sectoral caps, entry routes and pricing requirements.</w:t>
      </w:r>
    </w:p>
    <w:p w14:paraId="76F89E86" w14:textId="03D764C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(Mode of Payment and Reporting of Non-Debt Instruments) Regulations, 2019: the RBI's companion instrument on how funds move and how the transaction is reported.</w:t>
      </w:r>
    </w:p>
    <w:p w14:paraId="76F89E8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 Foreign Investment in India, the operational manual.</w:t>
      </w:r>
    </w:p>
    <w:p w14:paraId="76F89E8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Alongside FEMA, though not under it: DPIIT's Consolidated FDI Policy and Press Notes, the sectoral-cap policy layer.</w:t>
      </w:r>
    </w:p>
    <w:p w14:paraId="76F89E8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Key concepts: entry route (automatic or Government); sectoral caps; prohibited sectors; pricing guidelines; and the land-border rule. These cross-cutting investment concepts are developed in Part G. Reporting: Form FC-GPR (issue of shares to a non-resident) and Form FC-TRS (transfer of shares between resident and non-resident), on FIRMS.</w:t>
      </w:r>
    </w:p>
    <w:p w14:paraId="76F89E8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 foreign fund acquiring a 30% equity stake in an Indian software company is a PROI acquiring equity in India: FDI, governed by the Non-Debt Instruments Rules; the sector cap and route are checked (software is generally 100% automatic); the price must meet the Rule 21 floor certified by a valuer; the transaction is reported on Form FC-GPR through FIRMS.</w:t>
      </w:r>
    </w:p>
    <w:p w14:paraId="76F89E8B" w14:textId="77777777" w:rsidR="00694466" w:rsidRPr="00AC3FC1" w:rsidRDefault="005560FE">
      <w:pPr>
        <w:pStyle w:val="Heading3"/>
        <w:jc w:val="both"/>
        <w:rPr>
          <w:rFonts w:ascii="Times New Roman" w:eastAsia="Times New Roman" w:hAnsi="Times New Roman" w:cs="Times New Roman"/>
        </w:rPr>
      </w:pPr>
      <w:bookmarkStart w:id="27" w:name="bookmark=id.robjvqqfn8od" w:colFirst="0" w:colLast="0"/>
      <w:bookmarkEnd w:id="27"/>
      <w:r w:rsidRPr="00AC3FC1">
        <w:rPr>
          <w:rFonts w:ascii="Times New Roman" w:eastAsia="Times New Roman" w:hAnsi="Times New Roman" w:cs="Times New Roman"/>
        </w:rPr>
        <w:t>F.2 Outbound investment: ODI and OPI</w:t>
      </w:r>
    </w:p>
    <w:p w14:paraId="76F89E8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PRII acquires equity or an interest in a foreign entity, or a resident individual invests abroad.</w:t>
      </w:r>
    </w:p>
    <w:p w14:paraId="76F89E8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w:t>
      </w:r>
    </w:p>
    <w:p w14:paraId="76F89E8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(Overseas Investment) Rules, 2022 (Central Government) and FEM (Overseas Investment) Regulations, 2022 (RBI), read together, and the FEM (Overseas Investment) Directions, 2022.</w:t>
      </w:r>
    </w:p>
    <w:p w14:paraId="76F89E8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Master Direction: Overseas Investment.</w:t>
      </w:r>
    </w:p>
    <w:p w14:paraId="76F89E90" w14:textId="0E51F23C"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Key concepts:</w:t>
      </w:r>
      <w:r w:rsidR="001735B7" w:rsidRPr="00AC3FC1">
        <w:rPr>
          <w:rFonts w:ascii="Times New Roman" w:hAnsi="Times New Roman" w:cs="Times New Roman"/>
        </w:rPr>
        <w:t xml:space="preserve"> </w:t>
      </w:r>
      <w:r w:rsidR="001735B7" w:rsidRPr="00AC3FC1">
        <w:rPr>
          <w:rFonts w:ascii="Times New Roman" w:eastAsia="Times New Roman" w:hAnsi="Times New Roman" w:cs="Times New Roman"/>
          <w:color w:val="000000"/>
        </w:rPr>
        <w:t>ODI (Overseas Direct Investment): investment in an unlisted foreign entity, or investment in 10% or more of the equity of a listed foreign entity, or investment that results in control of the foreign entity. OPI (Overseas Portfolio Investment) is investment that falls outside the ODI definition</w:t>
      </w:r>
      <w:r w:rsidRPr="00AC3FC1">
        <w:rPr>
          <w:rFonts w:ascii="Times New Roman" w:eastAsia="Times New Roman" w:hAnsi="Times New Roman" w:cs="Times New Roman"/>
          <w:color w:val="000000"/>
        </w:rPr>
        <w:t>; financial commitment and its components; the net-worth-based ceiling; bona fide business activity as a continuing obligation; the prohibition on round-tripping and excess layering; and eligibility bars. These are developed in Part M.2.</w:t>
      </w:r>
    </w:p>
    <w:p w14:paraId="76F89E9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Indian company establishing a wholly owned subsidiary in Dubai is a PRII investing abroad: ODI, governed by the Overseas Investment Rules and Regulations and the Overseas Investment Master Direction. An Indian company acquiring a 5% stake in a listed foreign company is OPI, with different reporting.</w:t>
      </w:r>
    </w:p>
    <w:p w14:paraId="76F89E92" w14:textId="77777777" w:rsidR="00694466" w:rsidRPr="00AC3FC1" w:rsidRDefault="005560FE">
      <w:pPr>
        <w:pStyle w:val="Heading3"/>
        <w:jc w:val="both"/>
        <w:rPr>
          <w:rFonts w:ascii="Times New Roman" w:eastAsia="Times New Roman" w:hAnsi="Times New Roman" w:cs="Times New Roman"/>
        </w:rPr>
      </w:pPr>
      <w:bookmarkStart w:id="28" w:name="bookmark=id.52k753f5uicp" w:colFirst="0" w:colLast="0"/>
      <w:bookmarkEnd w:id="28"/>
      <w:r w:rsidRPr="00AC3FC1">
        <w:rPr>
          <w:rFonts w:ascii="Times New Roman" w:eastAsia="Times New Roman" w:hAnsi="Times New Roman" w:cs="Times New Roman"/>
        </w:rPr>
        <w:t>F.3 Cross-border borrowing: ECB</w:t>
      </w:r>
    </w:p>
    <w:p w14:paraId="76F89E9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PRII borrows from a PROI (in foreign currency or in rupees).</w:t>
      </w:r>
    </w:p>
    <w:p w14:paraId="76F89E9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w:t>
      </w:r>
    </w:p>
    <w:p w14:paraId="76F89E9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(Borrowing and Lending) Regulations, 2018 (amended in 2026, the revised ECB framework).</w:t>
      </w:r>
    </w:p>
    <w:p w14:paraId="76F89E9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 External Commercial Borrowings, Trade Credits and Structured Obligations.</w:t>
      </w:r>
    </w:p>
    <w:p w14:paraId="76F89E9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 Borrowing and Lending in Indian Rupee between Residents and NRIs or PIOs (the rupee-loan counterpart).</w:t>
      </w:r>
    </w:p>
    <w:p w14:paraId="76F89E98" w14:textId="16BCEBEA"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Key concepts: eligible borrowers and recognised lenders; the all-in-cost ceiling; minimum average maturity; end-use restrictions; trade credits; and structured obligations. Developed in Part M.3. </w:t>
      </w:r>
      <w:r w:rsidR="008A700E" w:rsidRPr="00AC3FC1">
        <w:rPr>
          <w:rFonts w:ascii="Times New Roman" w:eastAsia="Times New Roman" w:hAnsi="Times New Roman" w:cs="Times New Roman"/>
          <w:color w:val="000000"/>
        </w:rPr>
        <w:t>Reporting: Form ECB, Form ECB-2 and the Loan Registration Number (LRN), through the designated Authorised Dealer Category-I bank, in accordance with the applicable FEMA reporting requirements</w:t>
      </w:r>
    </w:p>
    <w:p w14:paraId="76F89E9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Indian manufacturer taking a five-year foreign-currency loan from a Japanese bank is a PRII borrowing from a PROI: ECB, governed by the Borrowing and Lending Regulations and the ECB Master Direction.</w:t>
      </w:r>
    </w:p>
    <w:p w14:paraId="76F89E9A" w14:textId="77777777" w:rsidR="00694466" w:rsidRPr="00AC3FC1" w:rsidRDefault="005560FE">
      <w:pPr>
        <w:pStyle w:val="Heading3"/>
        <w:jc w:val="both"/>
        <w:rPr>
          <w:rFonts w:ascii="Times New Roman" w:eastAsia="Times New Roman" w:hAnsi="Times New Roman" w:cs="Times New Roman"/>
        </w:rPr>
      </w:pPr>
      <w:bookmarkStart w:id="29" w:name="bookmark=id.hnhjz8ql7uyb" w:colFirst="0" w:colLast="0"/>
      <w:bookmarkEnd w:id="29"/>
      <w:r w:rsidRPr="00AC3FC1">
        <w:rPr>
          <w:rFonts w:ascii="Times New Roman" w:eastAsia="Times New Roman" w:hAnsi="Times New Roman" w:cs="Times New Roman"/>
        </w:rPr>
        <w:t>F.4 Debt securities held by non-residents</w:t>
      </w:r>
    </w:p>
    <w:p w14:paraId="76F89E9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PROI acquires debt instruments (government securities, non-convertible debentures, commercial paper), the debt counterpart to FDI.</w:t>
      </w:r>
    </w:p>
    <w:p w14:paraId="76F89E9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 FEM (Debt Instruments) Regulations, 2019 (RBI). This is the Regulation that partners the Non-Debt Instruments Rules: equity is governed by a Rule, debt by a Regulation.</w:t>
      </w:r>
    </w:p>
    <w:p w14:paraId="76F89E9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FPI acquiring Indian government bonds is a PROI acquiring debt: the Debt Instruments Regulations apply, not the Non-Debt Instruments Rules.</w:t>
      </w:r>
    </w:p>
    <w:p w14:paraId="76F89E9E" w14:textId="77777777" w:rsidR="00694466" w:rsidRPr="00AC3FC1" w:rsidRDefault="005560FE">
      <w:pPr>
        <w:pStyle w:val="Heading3"/>
        <w:jc w:val="both"/>
        <w:rPr>
          <w:rFonts w:ascii="Times New Roman" w:eastAsia="Times New Roman" w:hAnsi="Times New Roman" w:cs="Times New Roman"/>
        </w:rPr>
      </w:pPr>
      <w:bookmarkStart w:id="30" w:name="bookmark=id.3k1h393bvdv3" w:colFirst="0" w:colLast="0"/>
      <w:bookmarkEnd w:id="30"/>
      <w:r w:rsidRPr="00AC3FC1">
        <w:rPr>
          <w:rFonts w:ascii="Times New Roman" w:eastAsia="Times New Roman" w:hAnsi="Times New Roman" w:cs="Times New Roman"/>
        </w:rPr>
        <w:t xml:space="preserve">F.5 </w:t>
      </w:r>
      <w:sdt>
        <w:sdtPr>
          <w:rPr>
            <w:rFonts w:ascii="Times New Roman" w:hAnsi="Times New Roman" w:cs="Times New Roman"/>
          </w:rPr>
          <w:tag w:val="goog_rdk_5"/>
          <w:id w:val="718677706"/>
        </w:sdtPr>
        <w:sdtEndPr/>
        <w:sdtContent>
          <w:commentRangeStart w:id="31"/>
        </w:sdtContent>
      </w:sdt>
      <w:r w:rsidRPr="00AC3FC1">
        <w:rPr>
          <w:rFonts w:ascii="Times New Roman" w:eastAsia="Times New Roman" w:hAnsi="Times New Roman" w:cs="Times New Roman"/>
        </w:rPr>
        <w:t>Trade: export and import of goods and services</w:t>
      </w:r>
      <w:commentRangeEnd w:id="31"/>
      <w:r w:rsidRPr="00AC3FC1">
        <w:rPr>
          <w:rStyle w:val="CommentReference"/>
          <w:rFonts w:ascii="Times New Roman" w:eastAsia="Times New Roman" w:hAnsi="Times New Roman" w:cs="Times New Roman"/>
          <w:sz w:val="24"/>
          <w:szCs w:val="24"/>
        </w:rPr>
        <w:commentReference w:id="31"/>
      </w:r>
    </w:p>
    <w:p w14:paraId="76F89E9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cross-border sale (export) or purchase (import) of goods, services, or software.</w:t>
      </w:r>
    </w:p>
    <w:p w14:paraId="76F89EA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Instruments:</w:t>
      </w:r>
    </w:p>
    <w:p w14:paraId="76F89EA2" w14:textId="59B40369" w:rsidR="00694466" w:rsidRPr="00AC3FC1" w:rsidRDefault="003575AF" w:rsidP="005112F0">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Exchange Management (Export and Import of Goods and Services) Regulations, 2026: the forthcoming consolidated instrument for exports and imports, scheduled to take effect from 1 October 2026.</w:t>
      </w:r>
    </w:p>
    <w:p w14:paraId="435FDB4E" w14:textId="69767085" w:rsidR="005112F0" w:rsidRPr="00AC3FC1" w:rsidRDefault="005112F0" w:rsidP="005112F0">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Exchange Management (Export of Goods and Services) Regulations, 2015: the existing export framework until the 2026 Regulations take effect.</w:t>
      </w:r>
    </w:p>
    <w:p w14:paraId="76F89EA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 Export of Goods and Services, and Master Direction: Import of Goods and Services.</w:t>
      </w:r>
    </w:p>
    <w:p w14:paraId="76F89EA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(Manner of Receipt and Payment) Regulations, 2023: governs the permitted currencies and channels through which trade receipts and payments must move; all export and import settlement must comply with it.</w:t>
      </w:r>
    </w:p>
    <w:p w14:paraId="76F89EA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Key concepts: realisation and repatriation of export proceeds; the Export Declaration Form (EDF); advance payments and the guarantee trigger; write-off and value reduction; set-off of receivables against payables; third-party receipts and payments; merchanting trade transactions; and monitoring-system reconciliation. Developed in Part M.4.</w:t>
      </w:r>
    </w:p>
    <w:p w14:paraId="76F89EA6" w14:textId="7394FE9C"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Inference: </w:t>
      </w:r>
      <w:r w:rsidR="005112F0" w:rsidRPr="00AC3FC1">
        <w:rPr>
          <w:rFonts w:ascii="Times New Roman" w:eastAsia="Times New Roman" w:hAnsi="Times New Roman" w:cs="Times New Roman"/>
          <w:color w:val="000000"/>
        </w:rPr>
        <w:t>an Indian exporter that shipped goods abroad and remains unpaid beyond the applicable realisation period has a realisation and repatriation issue under the applicable export framework.</w:t>
      </w:r>
    </w:p>
    <w:p w14:paraId="76F89EA7" w14:textId="77777777" w:rsidR="00694466" w:rsidRPr="00AC3FC1" w:rsidRDefault="005560FE">
      <w:pPr>
        <w:pStyle w:val="Heading3"/>
        <w:jc w:val="both"/>
        <w:rPr>
          <w:rFonts w:ascii="Times New Roman" w:eastAsia="Times New Roman" w:hAnsi="Times New Roman" w:cs="Times New Roman"/>
        </w:rPr>
      </w:pPr>
      <w:bookmarkStart w:id="32" w:name="bookmark=id.jpgjxzpyp47l" w:colFirst="0" w:colLast="0"/>
      <w:bookmarkEnd w:id="32"/>
      <w:r w:rsidRPr="00AC3FC1">
        <w:rPr>
          <w:rFonts w:ascii="Times New Roman" w:eastAsia="Times New Roman" w:hAnsi="Times New Roman" w:cs="Times New Roman"/>
        </w:rPr>
        <w:t>F.6 Deposits and accounts</w:t>
      </w:r>
    </w:p>
    <w:p w14:paraId="76F89EA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bank account or deposit that crosses the residency line.</w:t>
      </w:r>
    </w:p>
    <w:p w14:paraId="76F89EA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 FEM (Deposit) Regulations, 2016, and the Master Direction on Deposits and Accounts.</w:t>
      </w:r>
    </w:p>
    <w:p w14:paraId="76F89EA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Concepts: the NRE, NRO, and FCNR(B) account types (see C.5); Special Non-Resident Rupee (SNRR) accounts; Exchange Earners Foreign Currency (EEFC) accounts; and deposit-acceptance rules.</w:t>
      </w:r>
    </w:p>
    <w:p w14:paraId="76F89EAB" w14:textId="77777777" w:rsidR="00694466" w:rsidRPr="00AC3FC1" w:rsidRDefault="005560FE">
      <w:pPr>
        <w:pStyle w:val="Heading3"/>
        <w:jc w:val="both"/>
        <w:rPr>
          <w:rFonts w:ascii="Times New Roman" w:eastAsia="Times New Roman" w:hAnsi="Times New Roman" w:cs="Times New Roman"/>
        </w:rPr>
      </w:pPr>
      <w:bookmarkStart w:id="33" w:name="bookmark=id.ps2cytxtsn23" w:colFirst="0" w:colLast="0"/>
      <w:bookmarkEnd w:id="33"/>
      <w:r w:rsidRPr="00AC3FC1">
        <w:rPr>
          <w:rFonts w:ascii="Times New Roman" w:eastAsia="Times New Roman" w:hAnsi="Times New Roman" w:cs="Times New Roman"/>
        </w:rPr>
        <w:t xml:space="preserve">F.7 </w:t>
      </w:r>
      <w:sdt>
        <w:sdtPr>
          <w:rPr>
            <w:rFonts w:ascii="Times New Roman" w:hAnsi="Times New Roman" w:cs="Times New Roman"/>
          </w:rPr>
          <w:tag w:val="goog_rdk_6"/>
          <w:id w:val="-25558707"/>
        </w:sdtPr>
        <w:sdtEndPr/>
        <w:sdtContent>
          <w:commentRangeStart w:id="34"/>
        </w:sdtContent>
      </w:sdt>
      <w:r w:rsidRPr="00AC3FC1">
        <w:rPr>
          <w:rFonts w:ascii="Times New Roman" w:eastAsia="Times New Roman" w:hAnsi="Times New Roman" w:cs="Times New Roman"/>
        </w:rPr>
        <w:t>Immovable property</w:t>
      </w:r>
      <w:commentRangeEnd w:id="34"/>
      <w:r w:rsidRPr="00AC3FC1">
        <w:rPr>
          <w:rStyle w:val="CommentReference"/>
          <w:rFonts w:ascii="Times New Roman" w:eastAsia="Times New Roman" w:hAnsi="Times New Roman" w:cs="Times New Roman"/>
          <w:sz w:val="24"/>
          <w:szCs w:val="24"/>
        </w:rPr>
        <w:commentReference w:id="34"/>
      </w:r>
    </w:p>
    <w:p w14:paraId="76F89EA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acquisition or transfer of real property across the residency line.</w:t>
      </w:r>
    </w:p>
    <w:p w14:paraId="76F89EA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w:t>
      </w:r>
    </w:p>
    <w:p w14:paraId="76F89EAE" w14:textId="529C88E3"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Property in India held by non-residents: now governed by the Non-Debt Instruments Rules, 2019. </w:t>
      </w:r>
      <w:r w:rsidR="00D17A40" w:rsidRPr="00AC3FC1">
        <w:rPr>
          <w:rFonts w:ascii="Times New Roman" w:eastAsia="Times New Roman" w:hAnsi="Times New Roman" w:cs="Times New Roman"/>
          <w:color w:val="000000"/>
        </w:rPr>
        <w:t>Acquisition and transfer of immovable property in India by persons resident outside India are governed by the Non-Debt Instruments Rules, 2019. The earlier Foreign Exchange Management (Acquisition and Transfer of Immovable Property in India) Regulations, 2018 have been superseded.</w:t>
      </w:r>
    </w:p>
    <w:p w14:paraId="76F89EA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Property outside India held by residents: FEM (Acquisition and Transfer of Immovable Property Outside India) Regulations, 2015.</w:t>
      </w:r>
    </w:p>
    <w:p w14:paraId="76F89EB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Master Direction: Acquisition or Transfer of Immovable Property under FEMA.</w:t>
      </w:r>
    </w:p>
    <w:p w14:paraId="76F89EB1" w14:textId="740C48E9"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 xml:space="preserve">Concepts: </w:t>
      </w:r>
      <w:r w:rsidR="00B31085" w:rsidRPr="00AC3FC1">
        <w:rPr>
          <w:rFonts w:ascii="Times New Roman" w:eastAsia="Times New Roman" w:hAnsi="Times New Roman" w:cs="Times New Roman"/>
          <w:color w:val="000000"/>
        </w:rPr>
        <w:t>NRIs and OCIs may purchase residential or commercial property in India, but may not purchase agricultural land, farmhouse or plantation property, subject to the applicable FEMA exceptions, including acquisition by inheritance</w:t>
      </w:r>
      <w:r w:rsidRPr="00AC3FC1">
        <w:rPr>
          <w:rFonts w:ascii="Times New Roman" w:eastAsia="Times New Roman" w:hAnsi="Times New Roman" w:cs="Times New Roman"/>
          <w:color w:val="000000"/>
        </w:rPr>
        <w:t>; foreign nationals with no Indian-origin link face the tightest limits; and repatriation of sale proceeds is capped by number of residential properties. Developed in Part M.6.</w:t>
      </w:r>
    </w:p>
    <w:p w14:paraId="76F89EB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OCI acquiring a flat is permitted (residential, not agricultural). A foreign national with no Indian link seeking to acquire farmland is prohibited.</w:t>
      </w:r>
    </w:p>
    <w:p w14:paraId="76F89EB3" w14:textId="77777777" w:rsidR="00694466" w:rsidRPr="00AC3FC1" w:rsidRDefault="005560FE">
      <w:pPr>
        <w:pStyle w:val="Heading3"/>
        <w:jc w:val="both"/>
        <w:rPr>
          <w:rFonts w:ascii="Times New Roman" w:eastAsia="Times New Roman" w:hAnsi="Times New Roman" w:cs="Times New Roman"/>
        </w:rPr>
      </w:pPr>
      <w:bookmarkStart w:id="35" w:name="bookmark=id.xxa83exnkgng" w:colFirst="0" w:colLast="0"/>
      <w:bookmarkEnd w:id="35"/>
      <w:r w:rsidRPr="00AC3FC1">
        <w:rPr>
          <w:rFonts w:ascii="Times New Roman" w:eastAsia="Times New Roman" w:hAnsi="Times New Roman" w:cs="Times New Roman"/>
        </w:rPr>
        <w:t>F.8 Guarantees</w:t>
      </w:r>
    </w:p>
    <w:p w14:paraId="76F89EB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Trigger: a guarantee given or received across the border.</w:t>
      </w:r>
    </w:p>
    <w:p w14:paraId="76F89EB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 FEM (Guarantees) Regulations, 2026 (replacing the 2000 regime), read with the Borrowing and Lending Regulations for eligibility.</w:t>
      </w:r>
    </w:p>
    <w:p w14:paraId="76F89EB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Concepts: the surety and the principal debtor must each satisfy the borrowing and lending eligibility conditions; and all guarantees issued, modified, or invoked are subject to quarterly reporting.</w:t>
      </w:r>
    </w:p>
    <w:p w14:paraId="76F89EB7" w14:textId="77777777" w:rsidR="00694466" w:rsidRPr="00AC3FC1" w:rsidRDefault="005560FE">
      <w:pPr>
        <w:pStyle w:val="Heading3"/>
        <w:jc w:val="both"/>
        <w:rPr>
          <w:rFonts w:ascii="Times New Roman" w:eastAsia="Times New Roman" w:hAnsi="Times New Roman" w:cs="Times New Roman"/>
        </w:rPr>
      </w:pPr>
      <w:bookmarkStart w:id="36" w:name="bookmark=id.xe9hwfkv02" w:colFirst="0" w:colLast="0"/>
      <w:bookmarkEnd w:id="36"/>
      <w:r w:rsidRPr="00AC3FC1">
        <w:rPr>
          <w:rFonts w:ascii="Times New Roman" w:eastAsia="Times New Roman" w:hAnsi="Times New Roman" w:cs="Times New Roman"/>
        </w:rPr>
        <w:t xml:space="preserve">F.9 </w:t>
      </w:r>
      <w:sdt>
        <w:sdtPr>
          <w:rPr>
            <w:rFonts w:ascii="Times New Roman" w:hAnsi="Times New Roman" w:cs="Times New Roman"/>
          </w:rPr>
          <w:tag w:val="goog_rdk_7"/>
          <w:id w:val="204069673"/>
        </w:sdtPr>
        <w:sdtEndPr/>
        <w:sdtContent>
          <w:commentRangeStart w:id="37"/>
          <w:commentRangeStart w:id="38"/>
        </w:sdtContent>
      </w:sdt>
      <w:r w:rsidRPr="00AC3FC1">
        <w:rPr>
          <w:rFonts w:ascii="Times New Roman" w:eastAsia="Times New Roman" w:hAnsi="Times New Roman" w:cs="Times New Roman"/>
        </w:rPr>
        <w:t>Derivatives and hedging</w:t>
      </w:r>
      <w:commentRangeEnd w:id="37"/>
      <w:r w:rsidRPr="00AC3FC1">
        <w:rPr>
          <w:rStyle w:val="CommentReference"/>
          <w:rFonts w:ascii="Times New Roman" w:eastAsia="Times New Roman" w:hAnsi="Times New Roman" w:cs="Times New Roman"/>
          <w:sz w:val="24"/>
          <w:szCs w:val="24"/>
        </w:rPr>
        <w:commentReference w:id="37"/>
      </w:r>
      <w:commentRangeEnd w:id="38"/>
      <w:r w:rsidR="001F44CF" w:rsidRPr="00AC3FC1">
        <w:rPr>
          <w:rStyle w:val="CommentReference"/>
          <w:rFonts w:ascii="Times New Roman" w:eastAsia="Times New Roman" w:hAnsi="Times New Roman" w:cs="Times New Roman"/>
          <w:sz w:val="24"/>
          <w:szCs w:val="24"/>
        </w:rPr>
        <w:commentReference w:id="38"/>
      </w:r>
    </w:p>
    <w:p w14:paraId="76F89EB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 FEM (Foreign Exchange Derivative Contracts) Regulations, 2000, and FEM (Margin for Derivative Contracts) Regulations, 2020.</w:t>
      </w:r>
    </w:p>
    <w:p w14:paraId="76F89EB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Concepts: permitted derivative contracts for hedging currency risk; and margin accounts (including interest-bearing accounts) for non-residents in respect of permitted derivative contracts.</w:t>
      </w:r>
    </w:p>
    <w:p w14:paraId="76F89EBA" w14:textId="77777777" w:rsidR="00694466" w:rsidRPr="00AC3FC1" w:rsidRDefault="005560FE">
      <w:pPr>
        <w:pStyle w:val="Heading3"/>
        <w:jc w:val="both"/>
        <w:rPr>
          <w:rFonts w:ascii="Times New Roman" w:eastAsia="Times New Roman" w:hAnsi="Times New Roman" w:cs="Times New Roman"/>
        </w:rPr>
      </w:pPr>
      <w:bookmarkStart w:id="39" w:name="bookmark=id.hapsknbaac1g" w:colFirst="0" w:colLast="0"/>
      <w:bookmarkEnd w:id="39"/>
      <w:r w:rsidRPr="00AC3FC1">
        <w:rPr>
          <w:rFonts w:ascii="Times New Roman" w:eastAsia="Times New Roman" w:hAnsi="Times New Roman" w:cs="Times New Roman"/>
        </w:rPr>
        <w:t>F.10 Money changing and money transfer</w:t>
      </w:r>
    </w:p>
    <w:p w14:paraId="76F89EB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Instruments: Master Direction on Money Changing Activities; Master Direction on the Money Transfer Service Scheme (MTSS), covering inbound personal remittances; and Master Direction on the Opening and Maintenance of Vostro Accounts of Non-resident Exchange Houses.</w:t>
      </w:r>
    </w:p>
    <w:p w14:paraId="76F89EB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Concepts: FFMCs, Forex Correspondents, and MTSS for personal remittances into India.</w:t>
      </w:r>
    </w:p>
    <w:p w14:paraId="76F89EBD" w14:textId="77777777" w:rsidR="00694466" w:rsidRPr="00AC3FC1" w:rsidRDefault="005560FE">
      <w:pPr>
        <w:pStyle w:val="Heading3"/>
        <w:jc w:val="both"/>
        <w:rPr>
          <w:rFonts w:ascii="Times New Roman" w:eastAsia="Times New Roman" w:hAnsi="Times New Roman" w:cs="Times New Roman"/>
        </w:rPr>
      </w:pPr>
      <w:bookmarkStart w:id="40" w:name="bookmark=id.vnjrbpbyuzvn" w:colFirst="0" w:colLast="0"/>
      <w:bookmarkEnd w:id="40"/>
      <w:r w:rsidRPr="00AC3FC1">
        <w:rPr>
          <w:rFonts w:ascii="Times New Roman" w:eastAsia="Times New Roman" w:hAnsi="Times New Roman" w:cs="Times New Roman"/>
        </w:rPr>
        <w:t>F.11 Mergers, offices in India, and IFSC</w:t>
      </w:r>
    </w:p>
    <w:p w14:paraId="76F89EB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(Cross Border Merger) Regulations, 2018: inbound and outbound mergers.</w:t>
      </w:r>
    </w:p>
    <w:p w14:paraId="76F89EB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(Establishment in India of a Branch, Liaison, or Project Office) Regulations, 2016, with its Master Direction: how a foreign company establishes a presence in India.</w:t>
      </w:r>
    </w:p>
    <w:p w14:paraId="76F89EC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(International Financial Services Centre) Regulations, 2015: the IFSC (GIFT City), where an IFSC is deemed to be outside India for many FEMA purposes.</w:t>
      </w:r>
    </w:p>
    <w:p w14:paraId="76F89EC1" w14:textId="77777777" w:rsidR="00694466" w:rsidRPr="00AC3FC1" w:rsidRDefault="005560FE">
      <w:pPr>
        <w:pStyle w:val="Heading3"/>
        <w:jc w:val="both"/>
        <w:rPr>
          <w:rFonts w:ascii="Times New Roman" w:eastAsia="Times New Roman" w:hAnsi="Times New Roman" w:cs="Times New Roman"/>
        </w:rPr>
      </w:pPr>
      <w:bookmarkStart w:id="41" w:name="bookmark=id.7s1g9fr1wsqf" w:colFirst="0" w:colLast="0"/>
      <w:bookmarkEnd w:id="41"/>
      <w:r w:rsidRPr="00AC3FC1">
        <w:rPr>
          <w:rFonts w:ascii="Times New Roman" w:eastAsia="Times New Roman" w:hAnsi="Times New Roman" w:cs="Times New Roman"/>
        </w:rPr>
        <w:t>F.12 Remittance of assets and individual remittance facilities</w:t>
      </w:r>
    </w:p>
    <w:p w14:paraId="76F89EC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(Remittance of Assets) Regulations, 2016, with its Master Direction: a non-resident or emigrant remitting assets out of India.</w:t>
      </w:r>
    </w:p>
    <w:p w14:paraId="76F89EC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Master Direction on the Liberalised Remittance Scheme, and Master Direction on Other Remittance Facilities: the individual-facing outflow rules.</w:t>
      </w:r>
    </w:p>
    <w:p w14:paraId="76F89EC4" w14:textId="77777777" w:rsidR="00694466" w:rsidRPr="00AC3FC1" w:rsidRDefault="005560FE">
      <w:pPr>
        <w:pStyle w:val="Heading3"/>
        <w:jc w:val="both"/>
        <w:rPr>
          <w:rFonts w:ascii="Times New Roman" w:eastAsia="Times New Roman" w:hAnsi="Times New Roman" w:cs="Times New Roman"/>
        </w:rPr>
      </w:pPr>
      <w:bookmarkStart w:id="42" w:name="bookmark=id.qpnlc94f2eo" w:colFirst="0" w:colLast="0"/>
      <w:bookmarkEnd w:id="42"/>
      <w:r w:rsidRPr="00AC3FC1">
        <w:rPr>
          <w:rFonts w:ascii="Times New Roman" w:eastAsia="Times New Roman" w:hAnsi="Times New Roman" w:cs="Times New Roman"/>
        </w:rPr>
        <w:t>F.13 Currency, and possession and retention</w:t>
      </w:r>
    </w:p>
    <w:p w14:paraId="76F89EC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(Export and Import of Currency) Regulations, 2015: physical movement of Indian and foreign currency across the border, including the Nepal and Bhutan carve-outs.</w:t>
      </w:r>
    </w:p>
    <w:p w14:paraId="76F89EC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(Possession and Retention of Foreign Currency) Regulations, 2015: how much foreign currency a resident may hold.</w:t>
      </w:r>
    </w:p>
    <w:p w14:paraId="76F89EC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(Realisation, Repatriation and Surrender of Foreign Exchange) Regulations, 2015: the resident's duty to bring home and surrender foreign exchange.</w:t>
      </w:r>
    </w:p>
    <w:p w14:paraId="76F89EC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(Regularization of Assets Held Abroad by a Person Resident in India) Regulations, 2015: regularisation of foreign assets.</w:t>
      </w:r>
    </w:p>
    <w:p w14:paraId="76F89EC9"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C">
          <v:rect id="_x0000_i1031" style="width:0;height:1.5pt" o:hralign="center" o:hrstd="t" o:hr="t" fillcolor="#a0a0a0" stroked="f"/>
        </w:pict>
      </w:r>
    </w:p>
    <w:p w14:paraId="76F89ECA" w14:textId="77777777" w:rsidR="00694466" w:rsidRPr="00AC3FC1" w:rsidRDefault="005560FE">
      <w:pPr>
        <w:pStyle w:val="Heading2"/>
        <w:jc w:val="both"/>
        <w:rPr>
          <w:rFonts w:ascii="Times New Roman" w:eastAsia="Times New Roman" w:hAnsi="Times New Roman" w:cs="Times New Roman"/>
          <w:sz w:val="24"/>
          <w:szCs w:val="24"/>
        </w:rPr>
      </w:pPr>
      <w:bookmarkStart w:id="43" w:name="bookmark=id.h7zssmyla3vp" w:colFirst="0" w:colLast="0"/>
      <w:bookmarkEnd w:id="43"/>
      <w:r w:rsidRPr="00AC3FC1">
        <w:rPr>
          <w:rFonts w:ascii="Times New Roman" w:eastAsia="Times New Roman" w:hAnsi="Times New Roman" w:cs="Times New Roman"/>
          <w:sz w:val="24"/>
          <w:szCs w:val="24"/>
        </w:rPr>
        <w:t>PART G. CROSS-CUTTING INVESTMENT CONCEPTS</w:t>
      </w:r>
    </w:p>
    <w:p w14:paraId="76F89EC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These concepts recur across FDI, ODI, downstream investment, transfers, and guarantees. They are not tied to a single instrument, so they are set out once here and referred to from the domains above. An AI that treats them as reusable nodes will avoid re-deriving them in each domain.</w:t>
      </w:r>
    </w:p>
    <w:p w14:paraId="76F89ECC" w14:textId="77777777" w:rsidR="00694466" w:rsidRPr="00AC3FC1" w:rsidRDefault="005560FE">
      <w:pPr>
        <w:pStyle w:val="Heading3"/>
        <w:jc w:val="both"/>
        <w:rPr>
          <w:rFonts w:ascii="Times New Roman" w:eastAsia="Times New Roman" w:hAnsi="Times New Roman" w:cs="Times New Roman"/>
        </w:rPr>
      </w:pPr>
      <w:bookmarkStart w:id="44" w:name="bookmark=id.uv9h5t7dipse" w:colFirst="0" w:colLast="0"/>
      <w:bookmarkEnd w:id="44"/>
      <w:r w:rsidRPr="00AC3FC1">
        <w:rPr>
          <w:rFonts w:ascii="Times New Roman" w:eastAsia="Times New Roman" w:hAnsi="Times New Roman" w:cs="Times New Roman"/>
        </w:rPr>
        <w:t>G.1 Ownership and control (the two-limb test)</w:t>
      </w:r>
    </w:p>
    <w:p w14:paraId="76F89EC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investment analysis turns on two distinct attributes of an Indian entity: who owns it and who controls it.</w:t>
      </w:r>
    </w:p>
    <w:p w14:paraId="0604F0C3" w14:textId="77777777" w:rsidR="00F07FF7" w:rsidRPr="00AC3FC1" w:rsidRDefault="00F07FF7">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Ownership: the extent of equity held by persons resident outside India, calculated on a fully diluted basis where applicable</w:t>
      </w:r>
    </w:p>
    <w:p w14:paraId="76F89ECF" w14:textId="228FE9B1"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Control: the right to appoint a majority of directors, or to control management or policy decisions, whether through shareholding, management rights, shareholders' agreements, or voting arrangements.</w:t>
      </w:r>
    </w:p>
    <w:p w14:paraId="76F89ED0" w14:textId="606ACD55"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Inference: </w:t>
      </w:r>
      <w:r w:rsidR="005F4677" w:rsidRPr="00AC3FC1">
        <w:rPr>
          <w:rFonts w:ascii="Times New Roman" w:eastAsia="Times New Roman" w:hAnsi="Times New Roman" w:cs="Times New Roman"/>
          <w:color w:val="000000"/>
        </w:rPr>
        <w:t>Control can exist without majority ownership. A non-resident holding a minority stake may nonetheless control an entity where it has the relevant rights to appoint a majority of directors or control management or policy decisions.</w:t>
      </w:r>
    </w:p>
    <w:p w14:paraId="76F89ED1" w14:textId="77777777" w:rsidR="00694466" w:rsidRPr="00AC3FC1" w:rsidRDefault="005560FE">
      <w:pPr>
        <w:pStyle w:val="Heading3"/>
        <w:jc w:val="both"/>
        <w:rPr>
          <w:rFonts w:ascii="Times New Roman" w:eastAsia="Times New Roman" w:hAnsi="Times New Roman" w:cs="Times New Roman"/>
        </w:rPr>
      </w:pPr>
      <w:bookmarkStart w:id="45" w:name="bookmark=id.az19966jg7wg" w:colFirst="0" w:colLast="0"/>
      <w:bookmarkEnd w:id="45"/>
      <w:r w:rsidRPr="00AC3FC1">
        <w:rPr>
          <w:rFonts w:ascii="Times New Roman" w:eastAsia="Times New Roman" w:hAnsi="Times New Roman" w:cs="Times New Roman"/>
        </w:rPr>
        <w:t>G.2 Foreign-owned or controlled company (FOCC) and downstream investment</w:t>
      </w:r>
    </w:p>
    <w:p w14:paraId="6F697127" w14:textId="3B26C9F2" w:rsidR="002C200D" w:rsidRPr="00AC3FC1" w:rsidRDefault="002C200D">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 Indian company is considered foreign-owned when persons resident outside India beneficially hold more than 50% of its equity instruments on a fully diluted basis. An LLP is considered foreign-owned when persons resident outside India contribute more than 50% of its capital and hold a majority of its profit share. An Indian company or LLP is foreign-controlled where control is vested in persons resident outside India</w:t>
      </w:r>
      <w:r w:rsidRPr="00AC3FC1">
        <w:rPr>
          <w:rFonts w:ascii="Times New Roman" w:eastAsia="Times New Roman" w:hAnsi="Times New Roman" w:cs="Times New Roman"/>
          <w:color w:val="000000"/>
        </w:rPr>
        <w:t>.</w:t>
      </w:r>
    </w:p>
    <w:p w14:paraId="76F89ED3" w14:textId="7C29ECAC"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When a FOCC invests in another Indian entity, that investment is a downstream investment and is treated as indirect foreign investment in the recipient. The governing provision is Rule 23 of the Non-Debt Instruments Rules, read with the Foreign Investment Master Direction.</w:t>
      </w:r>
    </w:p>
    <w:p w14:paraId="76F89ED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Two consequences follow, and both are commonly missed:</w:t>
      </w:r>
    </w:p>
    <w:p w14:paraId="76F89ED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downstream investment must comply with the same entry route, sectoral cap, pricing guidelines, and performance conditions that would apply to direct FDI into the recipient's sector. The governing principle is that what cannot be done directly cannot be done indirectly.</w:t>
      </w:r>
    </w:p>
    <w:p w14:paraId="76F89ED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FOCC receives a dual treatment. For pricing purposes it is treated as a person resident outside India (its downstream deals must meet the fair-value pricing rules). For reporting purposes it is treated as a person resident in India. This split is deliberate and is a frequent source of error.</w:t>
      </w:r>
    </w:p>
    <w:p w14:paraId="76F89ED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Indian company that is more than 50% foreign-owned, investing in a second Indian company, is not doing a purely domestic transaction. It is making indirect foreign investment, and the second company must satisfy the FDI conditions for its sector. The status crystallises on the date the entity becomes a FOCC (for example, when a funding round pushes non-resident ownership past the threshold), and a reclassification filing (Form DI) is triggered.</w:t>
      </w:r>
    </w:p>
    <w:p w14:paraId="76F89ED8" w14:textId="77777777" w:rsidR="00694466" w:rsidRPr="00AC3FC1" w:rsidRDefault="005560FE">
      <w:pPr>
        <w:pStyle w:val="Heading3"/>
        <w:jc w:val="both"/>
        <w:rPr>
          <w:rFonts w:ascii="Times New Roman" w:eastAsia="Times New Roman" w:hAnsi="Times New Roman" w:cs="Times New Roman"/>
        </w:rPr>
      </w:pPr>
      <w:bookmarkStart w:id="46" w:name="bookmark=id.7t963u5lvxga" w:colFirst="0" w:colLast="0"/>
      <w:bookmarkEnd w:id="46"/>
      <w:r w:rsidRPr="00AC3FC1">
        <w:rPr>
          <w:rFonts w:ascii="Times New Roman" w:eastAsia="Times New Roman" w:hAnsi="Times New Roman" w:cs="Times New Roman"/>
        </w:rPr>
        <w:t>G.3 Total foreign investment</w:t>
      </w:r>
    </w:p>
    <w:p w14:paraId="76F89ED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Total foreign investment in an Indian entity is the aggregate of direct foreign investment and indirect foreign investment, computed on a fully diluted basis. This aggregate is what is measured against a sectoral cap. An entity may be within its cap on direct investment alone yet breach it once indirect investment is added.</w:t>
      </w:r>
    </w:p>
    <w:p w14:paraId="76F89EDA" w14:textId="77777777" w:rsidR="00694466" w:rsidRPr="00AC3FC1" w:rsidRDefault="005560FE">
      <w:pPr>
        <w:pStyle w:val="Heading3"/>
        <w:jc w:val="both"/>
        <w:rPr>
          <w:rFonts w:ascii="Times New Roman" w:eastAsia="Times New Roman" w:hAnsi="Times New Roman" w:cs="Times New Roman"/>
        </w:rPr>
      </w:pPr>
      <w:bookmarkStart w:id="47" w:name="bookmark=id.hh17z11eynk" w:colFirst="0" w:colLast="0"/>
      <w:bookmarkEnd w:id="47"/>
      <w:r w:rsidRPr="00AC3FC1">
        <w:rPr>
          <w:rFonts w:ascii="Times New Roman" w:eastAsia="Times New Roman" w:hAnsi="Times New Roman" w:cs="Times New Roman"/>
        </w:rPr>
        <w:t>G.4 Entry routes and the approval machinery</w:t>
      </w:r>
    </w:p>
    <w:p w14:paraId="76F89ED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Every FDI proposal follows one of two routes:</w:t>
      </w:r>
    </w:p>
    <w:p w14:paraId="76F89ED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Automatic route: no prior approval; the investor invests and reports afterward.</w:t>
      </w:r>
    </w:p>
    <w:p w14:paraId="76F89ED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Government route: prior approval of the administrative ministry or department is required before the investment.</w:t>
      </w:r>
    </w:p>
    <w:p w14:paraId="76F89ED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approval machinery operates through the National Single Window System (which absorbed the earlier Foreign Investment Facilitation Portal), which routes an application to the competent ministry for the sector. Approval conditions can alter deal structure, so approval should be obtained before valuation and execution.</w:t>
      </w:r>
    </w:p>
    <w:p w14:paraId="76F89ED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the route is a function of the sector and the cap. If the target's sector permits 100% under the automatic route and imposes no performance conditions, no approval is needed. If foreign investment in the sector exceeds the automatic threshold, or the sector requires approval, the Government route applies.</w:t>
      </w:r>
    </w:p>
    <w:p w14:paraId="76F89EE0" w14:textId="77777777" w:rsidR="00694466" w:rsidRPr="00AC3FC1" w:rsidRDefault="005560FE">
      <w:pPr>
        <w:pStyle w:val="Heading3"/>
        <w:jc w:val="both"/>
        <w:rPr>
          <w:rFonts w:ascii="Times New Roman" w:eastAsia="Times New Roman" w:hAnsi="Times New Roman" w:cs="Times New Roman"/>
        </w:rPr>
      </w:pPr>
      <w:bookmarkStart w:id="48" w:name="bookmark=id.km77gcjcb9ds" w:colFirst="0" w:colLast="0"/>
      <w:bookmarkEnd w:id="48"/>
      <w:r w:rsidRPr="00AC3FC1">
        <w:rPr>
          <w:rFonts w:ascii="Times New Roman" w:eastAsia="Times New Roman" w:hAnsi="Times New Roman" w:cs="Times New Roman"/>
        </w:rPr>
        <w:t>G.5 Sectoral caps and performance conditions</w:t>
      </w:r>
    </w:p>
    <w:p w14:paraId="76F89EE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Sectors fall into three groups: prohibited (no foreign investment, for example lottery, gambling, chit funds, and certain real-estate business); capped (foreign investment permitted up to a stated percentage, sometimes split between an automatic tranche and a Government tranche); and permitted to 100% under the automatic route. Some sectors additionally impose FDI-linked performance conditions (for example minimum capitalisation, lock-in, or local-sourcing norms). The specific caps and conditions are set by the Consolidated FDI Policy and the Non-Debt Instruments Rules and change frequently; they should be read from the live source.</w:t>
      </w:r>
    </w:p>
    <w:p w14:paraId="76F89EE2" w14:textId="77777777" w:rsidR="00694466" w:rsidRPr="00AC3FC1" w:rsidRDefault="005560FE">
      <w:pPr>
        <w:pStyle w:val="Heading3"/>
        <w:jc w:val="both"/>
        <w:rPr>
          <w:rFonts w:ascii="Times New Roman" w:eastAsia="Times New Roman" w:hAnsi="Times New Roman" w:cs="Times New Roman"/>
        </w:rPr>
      </w:pPr>
      <w:bookmarkStart w:id="49" w:name="bookmark=id.qh99a9f0v2bv" w:colFirst="0" w:colLast="0"/>
      <w:bookmarkEnd w:id="49"/>
      <w:r w:rsidRPr="00AC3FC1">
        <w:rPr>
          <w:rFonts w:ascii="Times New Roman" w:eastAsia="Times New Roman" w:hAnsi="Times New Roman" w:cs="Times New Roman"/>
        </w:rPr>
        <w:lastRenderedPageBreak/>
        <w:t>G.6 Pricing and valuation</w:t>
      </w:r>
    </w:p>
    <w:p w14:paraId="76F89EE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Any issue or transfer of equity instruments across the resident and non-resident boundary must be priced against a fair value, not a figure negotiated between the parties. The governing provision is Rule 21 of the Non-Debt Instruments Rules.</w:t>
      </w:r>
    </w:p>
    <w:p w14:paraId="76F89EE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rule is asymmetric, and the asymmetry is the point:</w:t>
      </w:r>
    </w:p>
    <w:p w14:paraId="76F89EE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Inbound (a resident issues or transfers to a non-resident): the price must be at or above fair value. This prevents a foreign party acquiring Indian assets at a discount.</w:t>
      </w:r>
    </w:p>
    <w:p w14:paraId="76F89EE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Outbound (a non-resident transfers to a resident): the price must be at or below fair value. This prevents a foreign party exiting at an inflated price.</w:t>
      </w:r>
    </w:p>
    <w:p w14:paraId="76F89EE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Fair value is determined for a listed company by SEBI pricing guidelines, and for an unlisted company by any internationally accepted pricing methodology applied on an arm's-length basis (for example discounted cash flow, net asset value, or market multiples), certified by an eligible professional (a Chartered Accountant, a SEBI-registered Category-I Merchant Banker, or a practising Cost Accountant; for share swaps, a Merchant Banker or a recognised foreign investment banker). The certificate has a limited validity period, so allotment must occur within it.</w:t>
      </w:r>
    </w:p>
    <w:p w14:paraId="76F89EE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distinct and critical rule governs exit: a non-resident holding equity may not be contractually guaranteed an assured return or a pre-agreed exit price above the fair value prevailing at the time of exit. Equity must carry genuine business risk. An arrangement that guarantees a fixed return is recharacterised as debt and becomes subject to the borrowing framework instead.</w:t>
      </w:r>
    </w:p>
    <w:p w14:paraId="76F89EE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any cross-border share transaction requires a valuation certificate; the price is a floor when the money comes in and a ceiling when it goes out; and no put option or shareholders'-agreement clause may promise a foreign investor a fixed exit price above fair market value.</w:t>
      </w:r>
    </w:p>
    <w:p w14:paraId="76F89EEA" w14:textId="77777777" w:rsidR="00694466" w:rsidRPr="00AC3FC1" w:rsidRDefault="005560FE">
      <w:pPr>
        <w:pStyle w:val="Heading3"/>
        <w:jc w:val="both"/>
        <w:rPr>
          <w:rFonts w:ascii="Times New Roman" w:eastAsia="Times New Roman" w:hAnsi="Times New Roman" w:cs="Times New Roman"/>
        </w:rPr>
      </w:pPr>
      <w:bookmarkStart w:id="50" w:name="bookmark=id.5ia42xew00v3" w:colFirst="0" w:colLast="0"/>
      <w:bookmarkEnd w:id="50"/>
      <w:r w:rsidRPr="00AC3FC1">
        <w:rPr>
          <w:rFonts w:ascii="Times New Roman" w:eastAsia="Times New Roman" w:hAnsi="Times New Roman" w:cs="Times New Roman"/>
        </w:rPr>
        <w:t>G.7 Beneficial ownership and the land-border rule</w:t>
      </w:r>
    </w:p>
    <w:p w14:paraId="76F89EEB" w14:textId="4E06B043"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Investment from an entity of, </w:t>
      </w:r>
      <w:r w:rsidR="005B1E0D" w:rsidRPr="00AC3FC1">
        <w:rPr>
          <w:rFonts w:ascii="Times New Roman" w:eastAsia="Times New Roman" w:hAnsi="Times New Roman" w:cs="Times New Roman"/>
          <w:color w:val="000000"/>
        </w:rPr>
        <w:t>or a beneficial owner situated in, or a citizen of, a country sharing a land border with India</w:t>
      </w:r>
      <w:r w:rsidR="005B1E0D" w:rsidRPr="00AC3FC1">
        <w:rPr>
          <w:rFonts w:ascii="Times New Roman" w:eastAsia="Times New Roman" w:hAnsi="Times New Roman" w:cs="Times New Roman"/>
          <w:color w:val="000000"/>
        </w:rPr>
        <w:t xml:space="preserve"> </w:t>
      </w:r>
      <w:r w:rsidRPr="00AC3FC1">
        <w:rPr>
          <w:rFonts w:ascii="Times New Roman" w:eastAsia="Times New Roman" w:hAnsi="Times New Roman" w:cs="Times New Roman"/>
          <w:color w:val="000000"/>
        </w:rPr>
        <w:t>(for example China, Pakistan, Bangladesh, Nepal, Bhutan, Myanmar, Afghanistan) requires Government approval regardless of sector or route. This is the "Press Note 3" rule. It applies a beneficial-ownership test, so the analysis looks through the immediate investor to the ultimate beneficial owner.</w:t>
      </w:r>
    </w:p>
    <w:p w14:paraId="76F89EE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an investment routed through a Singapore holding company is not automatically clear. If the beneficial owner sits in a land-border country, the Government route applies despite the intermediate jurisdiction.</w:t>
      </w:r>
    </w:p>
    <w:p w14:paraId="76F89EED" w14:textId="77777777" w:rsidR="00694466" w:rsidRPr="00AC3FC1" w:rsidRDefault="005560FE">
      <w:pPr>
        <w:pStyle w:val="Heading3"/>
        <w:jc w:val="both"/>
        <w:rPr>
          <w:rFonts w:ascii="Times New Roman" w:eastAsia="Times New Roman" w:hAnsi="Times New Roman" w:cs="Times New Roman"/>
        </w:rPr>
      </w:pPr>
      <w:bookmarkStart w:id="51" w:name="bookmark=id.ao9a2ahjq0lz" w:colFirst="0" w:colLast="0"/>
      <w:bookmarkEnd w:id="51"/>
      <w:r w:rsidRPr="00AC3FC1">
        <w:rPr>
          <w:rFonts w:ascii="Times New Roman" w:eastAsia="Times New Roman" w:hAnsi="Times New Roman" w:cs="Times New Roman"/>
        </w:rPr>
        <w:t>G.8 Round-tripping and layering (outbound)</w:t>
      </w:r>
    </w:p>
    <w:p w14:paraId="76F89EE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On the outbound side, the mirror concern is that Indian money invested abroad returns to India through layered structures. The Overseas Investment framework restricts a resident's foreign entity from creating a structure with more than two layers of subsidiaries, and scrutinises investment that flows back into India. This is the round-tripping and layering restriction.</w:t>
      </w:r>
    </w:p>
    <w:p w14:paraId="76F89EF0" w14:textId="5A7E73BA" w:rsidR="00694466" w:rsidRPr="00AC3FC1" w:rsidRDefault="00AC3FC1">
      <w:pPr>
        <w:jc w:val="both"/>
        <w:rPr>
          <w:rFonts w:ascii="Times New Roman" w:eastAsia="Times New Roman" w:hAnsi="Times New Roman" w:cs="Times New Roman"/>
        </w:rPr>
      </w:pPr>
      <w:r w:rsidRPr="00AC3FC1">
        <w:rPr>
          <w:rFonts w:ascii="Times New Roman" w:hAnsi="Times New Roman" w:cs="Times New Roman"/>
        </w:rPr>
        <w:lastRenderedPageBreak/>
        <w:t>Inference: an ODI structure in which the foreign entity invests or invests into India, resulting in more than two layers of subsidiaries, engages the round-tripping and layering restriction under the Overseas Investment framework and may be impermissible</w:t>
      </w:r>
      <w:r w:rsidR="00175AD2" w:rsidRPr="00AC3FC1">
        <w:rPr>
          <w:rFonts w:ascii="Times New Roman" w:hAnsi="Times New Roman" w:cs="Times New Roman"/>
        </w:rPr>
        <w:pict w14:anchorId="76F89FCD">
          <v:rect id="_x0000_i1032" style="width:0;height:1.5pt" o:hralign="center" o:hrstd="t" o:hr="t" fillcolor="#a0a0a0" stroked="f"/>
        </w:pict>
      </w:r>
    </w:p>
    <w:p w14:paraId="76F89EF1" w14:textId="77777777" w:rsidR="00694466" w:rsidRPr="00AC3FC1" w:rsidRDefault="005560FE">
      <w:pPr>
        <w:pStyle w:val="Heading2"/>
        <w:jc w:val="both"/>
        <w:rPr>
          <w:rFonts w:ascii="Times New Roman" w:eastAsia="Times New Roman" w:hAnsi="Times New Roman" w:cs="Times New Roman"/>
          <w:sz w:val="24"/>
          <w:szCs w:val="24"/>
        </w:rPr>
      </w:pPr>
      <w:bookmarkStart w:id="52" w:name="bookmark=id.m9n8xmyozf7z" w:colFirst="0" w:colLast="0"/>
      <w:bookmarkEnd w:id="52"/>
      <w:r w:rsidRPr="00AC3FC1">
        <w:rPr>
          <w:rFonts w:ascii="Times New Roman" w:eastAsia="Times New Roman" w:hAnsi="Times New Roman" w:cs="Times New Roman"/>
          <w:sz w:val="24"/>
          <w:szCs w:val="24"/>
        </w:rPr>
        <w:t>PART H. THE ENFORCEMENT ONTOLOGY</w:t>
      </w:r>
    </w:p>
    <w:p w14:paraId="76F89EF2" w14:textId="77777777" w:rsidR="00694466" w:rsidRPr="00AC3FC1" w:rsidRDefault="005560FE">
      <w:pPr>
        <w:pStyle w:val="Heading3"/>
        <w:jc w:val="both"/>
        <w:rPr>
          <w:rFonts w:ascii="Times New Roman" w:eastAsia="Times New Roman" w:hAnsi="Times New Roman" w:cs="Times New Roman"/>
        </w:rPr>
      </w:pPr>
      <w:bookmarkStart w:id="53" w:name="bookmark=id.14upxn97q5ss" w:colFirst="0" w:colLast="0"/>
      <w:bookmarkEnd w:id="53"/>
      <w:r w:rsidRPr="00AC3FC1">
        <w:rPr>
          <w:rFonts w:ascii="Times New Roman" w:eastAsia="Times New Roman" w:hAnsi="Times New Roman" w:cs="Times New Roman"/>
        </w:rPr>
        <w:t>H.1 The contravention</w:t>
      </w:r>
    </w:p>
    <w:p w14:paraId="76F89EF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contravention is any breach of the Act, a Rule, a Regulation, a notification, a direction, or a condition of an RBI authorisation. The breadth matters: a breach of a Master Direction or of a circular condition is itself a contravention, because both are directions under the Act.</w:t>
      </w:r>
    </w:p>
    <w:p w14:paraId="76F89EF4" w14:textId="77777777" w:rsidR="00694466" w:rsidRPr="00AC3FC1" w:rsidRDefault="005560FE">
      <w:pPr>
        <w:pStyle w:val="Heading3"/>
        <w:jc w:val="both"/>
        <w:rPr>
          <w:rFonts w:ascii="Times New Roman" w:eastAsia="Times New Roman" w:hAnsi="Times New Roman" w:cs="Times New Roman"/>
        </w:rPr>
      </w:pPr>
      <w:bookmarkStart w:id="54" w:name="bookmark=id.noi9prif4pch" w:colFirst="0" w:colLast="0"/>
      <w:bookmarkEnd w:id="54"/>
      <w:r w:rsidRPr="00AC3FC1">
        <w:rPr>
          <w:rFonts w:ascii="Times New Roman" w:eastAsia="Times New Roman" w:hAnsi="Times New Roman" w:cs="Times New Roman"/>
        </w:rPr>
        <w:t xml:space="preserve">H.2 </w:t>
      </w:r>
      <w:sdt>
        <w:sdtPr>
          <w:rPr>
            <w:rFonts w:ascii="Times New Roman" w:hAnsi="Times New Roman" w:cs="Times New Roman"/>
          </w:rPr>
          <w:tag w:val="goog_rdk_8"/>
          <w:id w:val="1183952028"/>
        </w:sdtPr>
        <w:sdtEndPr/>
        <w:sdtContent>
          <w:commentRangeStart w:id="55"/>
          <w:commentRangeStart w:id="56"/>
        </w:sdtContent>
      </w:sdt>
      <w:r w:rsidRPr="00AC3FC1">
        <w:rPr>
          <w:rFonts w:ascii="Times New Roman" w:eastAsia="Times New Roman" w:hAnsi="Times New Roman" w:cs="Times New Roman"/>
        </w:rPr>
        <w:t>Two disposal routes</w:t>
      </w:r>
      <w:commentRangeEnd w:id="55"/>
      <w:r w:rsidRPr="00AC3FC1">
        <w:rPr>
          <w:rStyle w:val="CommentReference"/>
          <w:rFonts w:ascii="Times New Roman" w:eastAsia="Times New Roman" w:hAnsi="Times New Roman" w:cs="Times New Roman"/>
          <w:sz w:val="24"/>
          <w:szCs w:val="24"/>
        </w:rPr>
        <w:commentReference w:id="55"/>
      </w:r>
      <w:commentRangeEnd w:id="56"/>
      <w:r w:rsidR="001F44CF" w:rsidRPr="00AC3FC1">
        <w:rPr>
          <w:rStyle w:val="CommentReference"/>
          <w:rFonts w:ascii="Times New Roman" w:eastAsia="Times New Roman" w:hAnsi="Times New Roman" w:cs="Times New Roman"/>
          <w:sz w:val="24"/>
          <w:szCs w:val="24"/>
        </w:rPr>
        <w:commentReference w:id="56"/>
      </w:r>
    </w:p>
    <w:tbl>
      <w:tblPr>
        <w:tblStyle w:val="a1"/>
        <w:tblW w:w="7920" w:type="dxa"/>
        <w:tblInd w:w="-108" w:type="dxa"/>
        <w:tblLayout w:type="fixed"/>
        <w:tblLook w:val="0020" w:firstRow="1" w:lastRow="0" w:firstColumn="0" w:lastColumn="0" w:noHBand="0" w:noVBand="0"/>
      </w:tblPr>
      <w:tblGrid>
        <w:gridCol w:w="2640"/>
        <w:gridCol w:w="2640"/>
        <w:gridCol w:w="2640"/>
      </w:tblGrid>
      <w:tr w:rsidR="00694466" w:rsidRPr="00AC3FC1" w14:paraId="76F89EF8" w14:textId="77777777" w:rsidTr="0069446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F89EF5" w14:textId="77777777" w:rsidR="00694466" w:rsidRPr="00AC3FC1" w:rsidRDefault="00694466">
            <w:pPr>
              <w:pBdr>
                <w:top w:val="nil"/>
                <w:left w:val="nil"/>
                <w:bottom w:val="nil"/>
                <w:right w:val="nil"/>
                <w:between w:val="nil"/>
              </w:pBdr>
              <w:spacing w:before="36" w:after="36"/>
              <w:jc w:val="both"/>
              <w:rPr>
                <w:rFonts w:ascii="Times New Roman" w:eastAsia="Times New Roman" w:hAnsi="Times New Roman" w:cs="Times New Roman"/>
                <w:color w:val="000000"/>
              </w:rPr>
            </w:pPr>
          </w:p>
        </w:tc>
        <w:tc>
          <w:tcPr>
            <w:tcW w:w="2640" w:type="dxa"/>
          </w:tcPr>
          <w:p w14:paraId="76F89EF6"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Compounding</w:t>
            </w:r>
          </w:p>
        </w:tc>
        <w:tc>
          <w:tcPr>
            <w:tcW w:w="2640" w:type="dxa"/>
          </w:tcPr>
          <w:p w14:paraId="76F89EF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Adjudication</w:t>
            </w:r>
          </w:p>
        </w:tc>
      </w:tr>
      <w:tr w:rsidR="00694466" w:rsidRPr="00AC3FC1" w14:paraId="76F89EFC" w14:textId="77777777" w:rsidTr="00694466">
        <w:tc>
          <w:tcPr>
            <w:tcW w:w="2640" w:type="dxa"/>
          </w:tcPr>
          <w:p w14:paraId="76F89EF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Nature</w:t>
            </w:r>
          </w:p>
        </w:tc>
        <w:tc>
          <w:tcPr>
            <w:tcW w:w="2640" w:type="dxa"/>
          </w:tcPr>
          <w:p w14:paraId="76F89EFA"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Voluntary admission and monetary settlement</w:t>
            </w:r>
          </w:p>
        </w:tc>
        <w:tc>
          <w:tcPr>
            <w:tcW w:w="2640" w:type="dxa"/>
          </w:tcPr>
          <w:p w14:paraId="76F89EF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Imposed following investigation</w:t>
            </w:r>
          </w:p>
        </w:tc>
      </w:tr>
      <w:tr w:rsidR="00694466" w:rsidRPr="00AC3FC1" w14:paraId="76F89F00" w14:textId="77777777" w:rsidTr="00694466">
        <w:tc>
          <w:tcPr>
            <w:tcW w:w="2640" w:type="dxa"/>
          </w:tcPr>
          <w:p w14:paraId="76F89EF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Body</w:t>
            </w:r>
          </w:p>
        </w:tc>
        <w:tc>
          <w:tcPr>
            <w:tcW w:w="2640" w:type="dxa"/>
          </w:tcPr>
          <w:p w14:paraId="76F89EFE"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RBI (for most matters); ED for some</w:t>
            </w:r>
          </w:p>
        </w:tc>
        <w:tc>
          <w:tcPr>
            <w:tcW w:w="2640" w:type="dxa"/>
          </w:tcPr>
          <w:p w14:paraId="76F89EF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Enforcement Directorate</w:t>
            </w:r>
          </w:p>
        </w:tc>
      </w:tr>
      <w:tr w:rsidR="00694466" w:rsidRPr="00AC3FC1" w14:paraId="76F89F04" w14:textId="77777777" w:rsidTr="00694466">
        <w:tc>
          <w:tcPr>
            <w:tcW w:w="2640" w:type="dxa"/>
          </w:tcPr>
          <w:p w14:paraId="76F89F0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Instrument</w:t>
            </w:r>
          </w:p>
        </w:tc>
        <w:tc>
          <w:tcPr>
            <w:tcW w:w="2640" w:type="dxa"/>
          </w:tcPr>
          <w:p w14:paraId="76F89F02"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Exchange (Compounding Proceedings) Rules, 2024, and the Master Direction on Compounding of Contraventions</w:t>
            </w:r>
          </w:p>
        </w:tc>
        <w:tc>
          <w:tcPr>
            <w:tcW w:w="2640" w:type="dxa"/>
          </w:tcPr>
          <w:p w14:paraId="76F89F03"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(Adjudication Proceedings and Appeal) Rules, 2000</w:t>
            </w:r>
          </w:p>
        </w:tc>
      </w:tr>
      <w:tr w:rsidR="00694466" w:rsidRPr="00AC3FC1" w14:paraId="76F89F08" w14:textId="77777777" w:rsidTr="00694466">
        <w:tc>
          <w:tcPr>
            <w:tcW w:w="2640" w:type="dxa"/>
          </w:tcPr>
          <w:p w14:paraId="76F89F0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Outcome</w:t>
            </w:r>
          </w:p>
        </w:tc>
        <w:tc>
          <w:tcPr>
            <w:tcW w:w="2640" w:type="dxa"/>
          </w:tcPr>
          <w:p w14:paraId="76F89F06"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settled sum, closing the matter</w:t>
            </w:r>
          </w:p>
        </w:tc>
        <w:tc>
          <w:tcPr>
            <w:tcW w:w="2640" w:type="dxa"/>
          </w:tcPr>
          <w:p w14:paraId="76F89F0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penalty imposed by the adjudicating authority</w:t>
            </w:r>
          </w:p>
        </w:tc>
      </w:tr>
      <w:tr w:rsidR="00694466" w:rsidRPr="00AC3FC1" w14:paraId="76F89F0C" w14:textId="77777777" w:rsidTr="00694466">
        <w:tc>
          <w:tcPr>
            <w:tcW w:w="2640" w:type="dxa"/>
          </w:tcPr>
          <w:p w14:paraId="76F89F0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Appeal</w:t>
            </w:r>
          </w:p>
        </w:tc>
        <w:tc>
          <w:tcPr>
            <w:tcW w:w="2640" w:type="dxa"/>
          </w:tcPr>
          <w:p w14:paraId="76F89F0A"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Not applicable</w:t>
            </w:r>
          </w:p>
        </w:tc>
        <w:tc>
          <w:tcPr>
            <w:tcW w:w="2640" w:type="dxa"/>
          </w:tcPr>
          <w:p w14:paraId="76F89F0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To the Special Director (Appeals), then the Appellate Tribunal for Foreign Exchange, then the High Court</w:t>
            </w:r>
          </w:p>
        </w:tc>
      </w:tr>
    </w:tbl>
    <w:p w14:paraId="76F89F0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FEMA is civil. Penalties are monetary: up to three times the sum involved where the amount is quantifiable, or up to INR 2 lakh where it is not, with a further penalty of up to INR 5,000 per day for continuing default [verify: live source]. These figures sit in the Act itself and change rarely, but they are decision-critical to any enforcement assessment. Imprisonment arises only on failure to pay.</w:t>
      </w:r>
    </w:p>
    <w:p w14:paraId="76F89F0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Compounding is the ordinary means of regularisation. A party that identifies a breach (for example, a late FC-GPR filing) applies voluntarily to the RBI, pays a compounding amount, and closes its exposure. Certain matters are outside compounding (for example, where the contravention involves serious concerns such as money laundering or national security, or is under ED investigation).</w:t>
      </w:r>
    </w:p>
    <w:p w14:paraId="76F89F0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Inference: a company that filed its FDI report late and wishes to regularise it has a reporting contravention capable of voluntary compounding with the RBI under the Compounding Proceedings Rules, 2024 and the corresponding Master Direction. A show-cause notice issued by the ED alleging an unlawful transfer proceeds by adjudication under the Adjudication Rules, 2000, with appeal to the Appellate Tribunal.</w:t>
      </w:r>
    </w:p>
    <w:p w14:paraId="76F89F10" w14:textId="77777777" w:rsidR="00694466" w:rsidRPr="00AC3FC1" w:rsidRDefault="005560FE">
      <w:pPr>
        <w:pStyle w:val="Heading3"/>
        <w:jc w:val="both"/>
        <w:rPr>
          <w:rFonts w:ascii="Times New Roman" w:eastAsia="Times New Roman" w:hAnsi="Times New Roman" w:cs="Times New Roman"/>
        </w:rPr>
      </w:pPr>
      <w:bookmarkStart w:id="57" w:name="bookmark=id.yylrn4qaq03g" w:colFirst="0" w:colLast="0"/>
      <w:bookmarkEnd w:id="57"/>
      <w:r w:rsidRPr="00AC3FC1">
        <w:rPr>
          <w:rFonts w:ascii="Times New Roman" w:eastAsia="Times New Roman" w:hAnsi="Times New Roman" w:cs="Times New Roman"/>
        </w:rPr>
        <w:t>H.3 Supporting procedural instruments</w:t>
      </w:r>
    </w:p>
    <w:p w14:paraId="76F89F1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Exchange (Authentication of Documents) Rules, 2000: authentication of documents in proceedings.</w:t>
      </w:r>
    </w:p>
    <w:p w14:paraId="76F89F1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Appellate Tribunal for Foreign Exchange (Recruitment, Salary, Allowances and Conditions of Service) Rules, 2000: constitution of the Tribunal.</w:t>
      </w:r>
    </w:p>
    <w:p w14:paraId="76F89F1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FEM (Encashment of Draft, Cheque, Instrument and Payment of Interest) Rules, 2000: a narrow procedural rule.</w:t>
      </w:r>
    </w:p>
    <w:p w14:paraId="76F89F14"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E">
          <v:rect id="_x0000_i1033" style="width:0;height:1.5pt" o:hralign="center" o:hrstd="t" o:hr="t" fillcolor="#a0a0a0" stroked="f"/>
        </w:pict>
      </w:r>
    </w:p>
    <w:p w14:paraId="76F89F15" w14:textId="77777777" w:rsidR="00694466" w:rsidRPr="00AC3FC1" w:rsidRDefault="005560FE">
      <w:pPr>
        <w:pStyle w:val="Heading2"/>
        <w:jc w:val="both"/>
        <w:rPr>
          <w:rFonts w:ascii="Times New Roman" w:eastAsia="Times New Roman" w:hAnsi="Times New Roman" w:cs="Times New Roman"/>
          <w:sz w:val="24"/>
          <w:szCs w:val="24"/>
        </w:rPr>
      </w:pPr>
      <w:bookmarkStart w:id="58" w:name="bookmark=id.bae84no3362v" w:colFirst="0" w:colLast="0"/>
      <w:bookmarkEnd w:id="58"/>
      <w:r w:rsidRPr="00AC3FC1">
        <w:rPr>
          <w:rFonts w:ascii="Times New Roman" w:eastAsia="Times New Roman" w:hAnsi="Times New Roman" w:cs="Times New Roman"/>
          <w:sz w:val="24"/>
          <w:szCs w:val="24"/>
        </w:rPr>
        <w:t>PART I. THE REPORTING AND FORMS ONTOLOGY</w:t>
      </w:r>
    </w:p>
    <w:p w14:paraId="76F89F1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Identifying the form often permits inference of the transaction, which is how a file is read quickly.</w:t>
      </w:r>
    </w:p>
    <w:tbl>
      <w:tblPr>
        <w:tblStyle w:val="a2"/>
        <w:tblW w:w="7920" w:type="dxa"/>
        <w:tblInd w:w="-108" w:type="dxa"/>
        <w:tblLayout w:type="fixed"/>
        <w:tblLook w:val="0020" w:firstRow="1" w:lastRow="0" w:firstColumn="0" w:lastColumn="0" w:noHBand="0" w:noVBand="0"/>
      </w:tblPr>
      <w:tblGrid>
        <w:gridCol w:w="2640"/>
        <w:gridCol w:w="2640"/>
        <w:gridCol w:w="2640"/>
      </w:tblGrid>
      <w:tr w:rsidR="00694466" w:rsidRPr="00AC3FC1" w14:paraId="76F89F1A" w14:textId="77777777" w:rsidTr="0069446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F89F1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Form or return</w:t>
            </w:r>
          </w:p>
        </w:tc>
        <w:tc>
          <w:tcPr>
            <w:tcW w:w="2640" w:type="dxa"/>
          </w:tcPr>
          <w:p w14:paraId="76F89F1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Portal</w:t>
            </w:r>
          </w:p>
        </w:tc>
        <w:tc>
          <w:tcPr>
            <w:tcW w:w="2640" w:type="dxa"/>
          </w:tcPr>
          <w:p w14:paraId="76F89F1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Indicates</w:t>
            </w:r>
          </w:p>
        </w:tc>
      </w:tr>
      <w:tr w:rsidR="00694466" w:rsidRPr="00AC3FC1" w14:paraId="76F89F1E" w14:textId="77777777" w:rsidTr="00694466">
        <w:tc>
          <w:tcPr>
            <w:tcW w:w="2640" w:type="dxa"/>
          </w:tcPr>
          <w:p w14:paraId="76F89F1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FC-GPR</w:t>
            </w:r>
          </w:p>
        </w:tc>
        <w:tc>
          <w:tcPr>
            <w:tcW w:w="2640" w:type="dxa"/>
          </w:tcPr>
          <w:p w14:paraId="76F89F1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FIRMS</w:t>
            </w:r>
          </w:p>
        </w:tc>
        <w:tc>
          <w:tcPr>
            <w:tcW w:w="2640" w:type="dxa"/>
          </w:tcPr>
          <w:p w14:paraId="76F89F1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 Indian company issued shares to a non-resident (fresh FDI)</w:t>
            </w:r>
          </w:p>
        </w:tc>
      </w:tr>
      <w:tr w:rsidR="00694466" w:rsidRPr="00AC3FC1" w14:paraId="76F89F22" w14:textId="77777777" w:rsidTr="00694466">
        <w:tc>
          <w:tcPr>
            <w:tcW w:w="2640" w:type="dxa"/>
          </w:tcPr>
          <w:p w14:paraId="76F89F1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FC-TRS</w:t>
            </w:r>
          </w:p>
        </w:tc>
        <w:tc>
          <w:tcPr>
            <w:tcW w:w="2640" w:type="dxa"/>
          </w:tcPr>
          <w:p w14:paraId="76F89F20"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FIRMS</w:t>
            </w:r>
          </w:p>
        </w:tc>
        <w:tc>
          <w:tcPr>
            <w:tcW w:w="2640" w:type="dxa"/>
          </w:tcPr>
          <w:p w14:paraId="76F89F2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transfer of shares between resident and non-resident</w:t>
            </w:r>
          </w:p>
        </w:tc>
      </w:tr>
      <w:tr w:rsidR="00694466" w:rsidRPr="00AC3FC1" w14:paraId="76F89F26" w14:textId="77777777" w:rsidTr="00694466">
        <w:tc>
          <w:tcPr>
            <w:tcW w:w="2640" w:type="dxa"/>
          </w:tcPr>
          <w:p w14:paraId="76F89F23"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Form DI</w:t>
            </w:r>
          </w:p>
        </w:tc>
        <w:tc>
          <w:tcPr>
            <w:tcW w:w="2640" w:type="dxa"/>
          </w:tcPr>
          <w:p w14:paraId="76F89F2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FIRMS</w:t>
            </w:r>
          </w:p>
        </w:tc>
        <w:tc>
          <w:tcPr>
            <w:tcW w:w="2640" w:type="dxa"/>
          </w:tcPr>
          <w:p w14:paraId="76F89F2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 downstream (indirect foreign) investment by a FOCC</w:t>
            </w:r>
          </w:p>
        </w:tc>
      </w:tr>
      <w:tr w:rsidR="00694466" w:rsidRPr="00AC3FC1" w14:paraId="76F89F2A" w14:textId="77777777" w:rsidTr="00694466">
        <w:tc>
          <w:tcPr>
            <w:tcW w:w="2640" w:type="dxa"/>
          </w:tcPr>
          <w:p w14:paraId="76F89F2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LLP-I / LLP-II</w:t>
            </w:r>
          </w:p>
        </w:tc>
        <w:tc>
          <w:tcPr>
            <w:tcW w:w="2640" w:type="dxa"/>
          </w:tcPr>
          <w:p w14:paraId="76F89F2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FIRMS</w:t>
            </w:r>
          </w:p>
        </w:tc>
        <w:tc>
          <w:tcPr>
            <w:tcW w:w="2640" w:type="dxa"/>
          </w:tcPr>
          <w:p w14:paraId="76F89F2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Foreign investment into, or disinvestment from, an LLP</w:t>
            </w:r>
          </w:p>
        </w:tc>
      </w:tr>
      <w:tr w:rsidR="00694466" w:rsidRPr="00AC3FC1" w14:paraId="76F89F2E" w14:textId="77777777" w:rsidTr="00694466">
        <w:tc>
          <w:tcPr>
            <w:tcW w:w="2640" w:type="dxa"/>
          </w:tcPr>
          <w:p w14:paraId="76F89F2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FLA return</w:t>
            </w:r>
          </w:p>
        </w:tc>
        <w:tc>
          <w:tcPr>
            <w:tcW w:w="2640" w:type="dxa"/>
          </w:tcPr>
          <w:p w14:paraId="76F89F2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FLAIR</w:t>
            </w:r>
          </w:p>
        </w:tc>
        <w:tc>
          <w:tcPr>
            <w:tcW w:w="2640" w:type="dxa"/>
          </w:tcPr>
          <w:p w14:paraId="76F89F2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annual Foreign Liabilities and Assets return (entities with FDI or ODI)</w:t>
            </w:r>
          </w:p>
        </w:tc>
      </w:tr>
      <w:tr w:rsidR="00694466" w:rsidRPr="00AC3FC1" w14:paraId="76F89F32" w14:textId="77777777" w:rsidTr="00694466">
        <w:tc>
          <w:tcPr>
            <w:tcW w:w="2640" w:type="dxa"/>
          </w:tcPr>
          <w:p w14:paraId="76F89F2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Form ECB / ECB-2</w:t>
            </w:r>
          </w:p>
        </w:tc>
        <w:tc>
          <w:tcPr>
            <w:tcW w:w="2640" w:type="dxa"/>
          </w:tcPr>
          <w:p w14:paraId="76F89F30"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via AD bank</w:t>
            </w:r>
          </w:p>
        </w:tc>
        <w:tc>
          <w:tcPr>
            <w:tcW w:w="2640" w:type="dxa"/>
          </w:tcPr>
          <w:p w14:paraId="76F89F3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An external commercial borrowing (initial or monthly)</w:t>
            </w:r>
          </w:p>
        </w:tc>
      </w:tr>
      <w:tr w:rsidR="00694466" w:rsidRPr="00AC3FC1" w14:paraId="76F89F36" w14:textId="77777777" w:rsidTr="00694466">
        <w:tc>
          <w:tcPr>
            <w:tcW w:w="2640" w:type="dxa"/>
          </w:tcPr>
          <w:p w14:paraId="76F89F33"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Form FC / APR</w:t>
            </w:r>
          </w:p>
        </w:tc>
        <w:tc>
          <w:tcPr>
            <w:tcW w:w="2640" w:type="dxa"/>
          </w:tcPr>
          <w:p w14:paraId="76F89F34"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via AD bank</w:t>
            </w:r>
          </w:p>
        </w:tc>
        <w:tc>
          <w:tcPr>
            <w:tcW w:w="2640" w:type="dxa"/>
          </w:tcPr>
          <w:p w14:paraId="76F89F35"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Overseas investment (initial financial commitment) or the </w:t>
            </w:r>
            <w:r w:rsidRPr="00AC3FC1">
              <w:rPr>
                <w:rFonts w:ascii="Times New Roman" w:eastAsia="Times New Roman" w:hAnsi="Times New Roman" w:cs="Times New Roman"/>
                <w:color w:val="000000"/>
              </w:rPr>
              <w:lastRenderedPageBreak/>
              <w:t>Annual Performance Report</w:t>
            </w:r>
          </w:p>
        </w:tc>
      </w:tr>
      <w:tr w:rsidR="00694466" w:rsidRPr="00AC3FC1" w14:paraId="76F89F3A" w14:textId="77777777" w:rsidTr="00694466">
        <w:tc>
          <w:tcPr>
            <w:tcW w:w="2640" w:type="dxa"/>
          </w:tcPr>
          <w:p w14:paraId="76F89F37"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EDF</w:t>
            </w:r>
          </w:p>
        </w:tc>
        <w:tc>
          <w:tcPr>
            <w:tcW w:w="2640" w:type="dxa"/>
          </w:tcPr>
          <w:p w14:paraId="76F89F38"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EDPMS</w:t>
            </w:r>
          </w:p>
        </w:tc>
        <w:tc>
          <w:tcPr>
            <w:tcW w:w="2640" w:type="dxa"/>
          </w:tcPr>
          <w:p w14:paraId="76F89F39"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Export of goods or services (unified declaration)</w:t>
            </w:r>
          </w:p>
        </w:tc>
      </w:tr>
      <w:tr w:rsidR="00694466" w:rsidRPr="00AC3FC1" w14:paraId="76F89F3E" w14:textId="77777777" w:rsidTr="00694466">
        <w:tc>
          <w:tcPr>
            <w:tcW w:w="2640" w:type="dxa"/>
          </w:tcPr>
          <w:p w14:paraId="76F89F3B"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IDPMS entries</w:t>
            </w:r>
          </w:p>
        </w:tc>
        <w:tc>
          <w:tcPr>
            <w:tcW w:w="2640" w:type="dxa"/>
          </w:tcPr>
          <w:p w14:paraId="76F89F3C"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IDPMS</w:t>
            </w:r>
          </w:p>
        </w:tc>
        <w:tc>
          <w:tcPr>
            <w:tcW w:w="2640" w:type="dxa"/>
          </w:tcPr>
          <w:p w14:paraId="76F89F3D"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Import-payment tracking</w:t>
            </w:r>
          </w:p>
        </w:tc>
      </w:tr>
      <w:tr w:rsidR="00694466" w:rsidRPr="00AC3FC1" w14:paraId="76F89F42" w14:textId="77777777" w:rsidTr="00694466">
        <w:tc>
          <w:tcPr>
            <w:tcW w:w="2640" w:type="dxa"/>
          </w:tcPr>
          <w:p w14:paraId="76F89F3F"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FETERS</w:t>
            </w:r>
          </w:p>
        </w:tc>
        <w:tc>
          <w:tcPr>
            <w:tcW w:w="2640" w:type="dxa"/>
          </w:tcPr>
          <w:p w14:paraId="76F89F40"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RBI</w:t>
            </w:r>
          </w:p>
        </w:tc>
        <w:tc>
          <w:tcPr>
            <w:tcW w:w="2640" w:type="dxa"/>
          </w:tcPr>
          <w:p w14:paraId="76F89F41" w14:textId="77777777" w:rsidR="00694466" w:rsidRPr="00AC3FC1" w:rsidRDefault="005560FE">
            <w:pPr>
              <w:pBdr>
                <w:top w:val="nil"/>
                <w:left w:val="nil"/>
                <w:bottom w:val="nil"/>
                <w:right w:val="nil"/>
                <w:between w:val="nil"/>
              </w:pBdr>
              <w:spacing w:before="36" w:after="36"/>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Bank-level balance-of-payments reporting</w:t>
            </w:r>
          </w:p>
        </w:tc>
      </w:tr>
    </w:tbl>
    <w:p w14:paraId="76F89F4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Inference: the presence of an FC-TRS in a file indicates a purchase or sale of Indian shares across the residency line, requiring confirmation that the Rule 21 pricing and the Non-Debt Instruments Rules were satisfied. The presence of a Form DI indicates a foreign-owned Indian company making a downstream investment, requiring confirmation that the recipient's sector cap and route were respected.</w:t>
      </w:r>
    </w:p>
    <w:p w14:paraId="76F89F44"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CF">
          <v:rect id="_x0000_i1034" style="width:0;height:1.5pt" o:hralign="center" o:hrstd="t" o:hr="t" fillcolor="#a0a0a0" stroked="f"/>
        </w:pict>
      </w:r>
    </w:p>
    <w:p w14:paraId="76F89F45" w14:textId="77777777" w:rsidR="00694466" w:rsidRPr="00AC3FC1" w:rsidRDefault="005560FE">
      <w:pPr>
        <w:pStyle w:val="Heading2"/>
        <w:jc w:val="both"/>
        <w:rPr>
          <w:rFonts w:ascii="Times New Roman" w:eastAsia="Times New Roman" w:hAnsi="Times New Roman" w:cs="Times New Roman"/>
          <w:sz w:val="24"/>
          <w:szCs w:val="24"/>
        </w:rPr>
      </w:pPr>
      <w:bookmarkStart w:id="59" w:name="bookmark=id.2f3r8wwy3928" w:colFirst="0" w:colLast="0"/>
      <w:bookmarkEnd w:id="59"/>
      <w:r w:rsidRPr="00AC3FC1">
        <w:rPr>
          <w:rFonts w:ascii="Times New Roman" w:eastAsia="Times New Roman" w:hAnsi="Times New Roman" w:cs="Times New Roman"/>
          <w:sz w:val="24"/>
          <w:szCs w:val="24"/>
        </w:rPr>
        <w:t>PART J. CROSS-CUTTING INFERENCE RULES</w:t>
      </w:r>
    </w:p>
    <w:p w14:paraId="76F89F4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These are the steps applied by an experienced practitioner as a matter of course. They are stated explicitly.</w:t>
      </w:r>
    </w:p>
    <w:p w14:paraId="76F89F47"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Determine residency first. Before classifying any transaction, label both parties as PRII or PROI. Entity residency turns on the place of incorporation, not on ownership. A company incorporated abroad is a PROI; an Indian subsidiary of a foreign parent is a PRII.</w:t>
      </w:r>
    </w:p>
    <w:p w14:paraId="76F89F48"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Then apply the ownership-and-control lens separately. An Indian company (a PRII) that is more than 50% foreign-owned or foreign-controlled is treated as foreign when it invests downstream. Residency and foreign-owned-or-controlled status are two different tests, and both matter.</w:t>
      </w:r>
    </w:p>
    <w:p w14:paraId="76F89F49"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 xml:space="preserve">Classify the transaction. Does it move or alter capital across the border (a capital account transaction, prohibited by default), or does it pay for goods, services, or living expenses (a current account transaction, permitted by default)? For a current account item, look for a prohibition. For a capital account item, look for a permission. </w:t>
      </w:r>
    </w:p>
    <w:p w14:paraId="76F89F4A"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 xml:space="preserve">Allocate Rule against Regulation by subject. </w:t>
      </w:r>
    </w:p>
    <w:p w14:paraId="76F89F4B"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Treat the Master Direction as the manual, not the authority. Use it to establish procedure, but where it conflicts with the parent Rule or Regulation, the parent prevails. Note the update date.</w:t>
      </w:r>
    </w:p>
    <w:p w14:paraId="76F89F4C"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Route through the AD bank. Most transactions pass through an AD Category-I bank, which executes, screens for compliance, and files the report.</w:t>
      </w:r>
    </w:p>
    <w:p w14:paraId="76F89F4D"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Split the instrument by equity against debt. Non-debt (equity-type) instruments are governed by the Non-Debt Instruments Rules; debt instruments by the Debt Instruments Regulations.</w:t>
      </w:r>
    </w:p>
    <w:p w14:paraId="76F89F4E"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lastRenderedPageBreak/>
        <w:t>Price every cross-border share deal against fair value. The price is a floor for inbound investment and a ceiling for outbound transfer, certified by an eligible valuer. No foreign investor may be guaranteed a fixed exit price above fair market value; such a promise recharacterises the equity as debt.</w:t>
      </w:r>
    </w:p>
    <w:p w14:paraId="76F89F4F"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Count the whole financial commitment on the outbound side. For ODI, financial commitment includes equity, debt, and guarantees, not equity alone. Measuring only equity understates exposure against the net-worth ceiling.</w:t>
      </w:r>
    </w:p>
    <w:p w14:paraId="76F89F50"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Distinguish ODI from OPI. ODI arises at 10% or more of a foreign entity, or on control; OPI is a smaller, non-controlling holding, typically in listed securities, with a separate reporting track.</w:t>
      </w:r>
    </w:p>
    <w:p w14:paraId="76F89F51"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Resolve repatriability explicitly. Whether proceeds may leave India depends on the specific regulation and the account type (NRE funds are freely repatriable; NRO funds are capped).</w:t>
      </w:r>
    </w:p>
    <w:p w14:paraId="76F89F52"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Treat a late or missing form as a contravention capable of compounding. Most FEMA issues in practice are reporting breaches, and the standard course is voluntary compounding with the RBI rather than litigation.</w:t>
      </w:r>
    </w:p>
    <w:p w14:paraId="76F89F53"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Read DPIIT policy alongside FEMA. Sectoral caps and the Consolidated FDI Policy are issued by the Department for Promotion of Industry and Internal Trade; the Non-Debt Instruments Rules give them legal effect.</w:t>
      </w:r>
    </w:p>
    <w:p w14:paraId="76F89F54"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Look through to the beneficial owner on inbound deals. An investment structured through a third jurisdiction still attracts the land-border approval rule if the ultimate beneficial owner sits in a land-border country.</w:t>
      </w:r>
    </w:p>
    <w:p w14:paraId="76F89F55" w14:textId="77777777" w:rsidR="00694466" w:rsidRPr="00AC3FC1" w:rsidRDefault="005560FE">
      <w:pPr>
        <w:numPr>
          <w:ilvl w:val="0"/>
          <w:numId w:val="1"/>
        </w:numPr>
        <w:jc w:val="both"/>
        <w:rPr>
          <w:rFonts w:ascii="Times New Roman" w:eastAsia="Times New Roman" w:hAnsi="Times New Roman" w:cs="Times New Roman"/>
        </w:rPr>
      </w:pPr>
      <w:r w:rsidRPr="00AC3FC1">
        <w:rPr>
          <w:rFonts w:ascii="Times New Roman" w:eastAsia="Times New Roman" w:hAnsi="Times New Roman" w:cs="Times New Roman"/>
        </w:rPr>
        <w:t>Treat the IFSC (GIFT City) as outside India for many FEMA purposes. A resident dealing with an IFSC unit may be conducting a transaction that FEMA treats as cross-border.</w:t>
      </w:r>
    </w:p>
    <w:p w14:paraId="76F89F56"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D0">
          <v:rect id="_x0000_i1035" style="width:0;height:1.5pt" o:hralign="center" o:hrstd="t" o:hr="t" fillcolor="#a0a0a0" stroked="f"/>
        </w:pict>
      </w:r>
    </w:p>
    <w:p w14:paraId="76F89F57" w14:textId="77777777" w:rsidR="00694466" w:rsidRPr="00AC3FC1" w:rsidRDefault="005560FE">
      <w:pPr>
        <w:pStyle w:val="Heading2"/>
        <w:jc w:val="both"/>
        <w:rPr>
          <w:rFonts w:ascii="Times New Roman" w:eastAsia="Times New Roman" w:hAnsi="Times New Roman" w:cs="Times New Roman"/>
          <w:sz w:val="24"/>
          <w:szCs w:val="24"/>
        </w:rPr>
      </w:pPr>
      <w:bookmarkStart w:id="60" w:name="bookmark=id.a1tmo22p36cd" w:colFirst="0" w:colLast="0"/>
      <w:bookmarkEnd w:id="60"/>
      <w:r w:rsidRPr="00AC3FC1">
        <w:rPr>
          <w:rFonts w:ascii="Times New Roman" w:eastAsia="Times New Roman" w:hAnsi="Times New Roman" w:cs="Times New Roman"/>
          <w:sz w:val="24"/>
          <w:szCs w:val="24"/>
        </w:rPr>
        <w:t>PART K. IND</w:t>
      </w:r>
      <w:sdt>
        <w:sdtPr>
          <w:rPr>
            <w:rFonts w:ascii="Times New Roman" w:hAnsi="Times New Roman" w:cs="Times New Roman"/>
          </w:rPr>
          <w:tag w:val="goog_rdk_9"/>
          <w:id w:val="-989714087"/>
        </w:sdtPr>
        <w:sdtEndPr/>
        <w:sdtContent>
          <w:commentRangeStart w:id="61"/>
        </w:sdtContent>
      </w:sdt>
      <w:r w:rsidRPr="00AC3FC1">
        <w:rPr>
          <w:rFonts w:ascii="Times New Roman" w:eastAsia="Times New Roman" w:hAnsi="Times New Roman" w:cs="Times New Roman"/>
          <w:sz w:val="24"/>
          <w:szCs w:val="24"/>
        </w:rPr>
        <w:t>EX: INSTRUMENT BY CATEGORY</w:t>
      </w:r>
      <w:commentRangeEnd w:id="61"/>
      <w:r w:rsidRPr="00AC3FC1">
        <w:rPr>
          <w:rStyle w:val="CommentReference"/>
          <w:rFonts w:ascii="Times New Roman" w:eastAsia="Times New Roman" w:hAnsi="Times New Roman" w:cs="Times New Roman"/>
          <w:sz w:val="24"/>
          <w:szCs w:val="24"/>
        </w:rPr>
        <w:commentReference w:id="61"/>
      </w:r>
    </w:p>
    <w:p w14:paraId="76F89F5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b/>
          <w:bCs/>
          <w:color w:val="000000"/>
        </w:rPr>
        <w:t>Rules (Central Government)</w:t>
      </w:r>
    </w:p>
    <w:p w14:paraId="76F89F59"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(Current Account Transactions) Rules, 2000</w:t>
      </w:r>
    </w:p>
    <w:p w14:paraId="76F89F5A"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(Encashment of Draft, Cheque, Instrument and Payment of Interest) Rules, 2000</w:t>
      </w:r>
    </w:p>
    <w:p w14:paraId="76F89F5B"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(Authentication of Documents) Rules, 2000</w:t>
      </w:r>
    </w:p>
    <w:p w14:paraId="76F89F5C"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(Adjudication Proceedings and Appeal) Rules, 2000</w:t>
      </w:r>
    </w:p>
    <w:p w14:paraId="76F89F5D"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Appellate Tribunal for Foreign Exchange (Recruitment, Salary, Allowances and Conditions of Service) Rules, 2000</w:t>
      </w:r>
    </w:p>
    <w:p w14:paraId="76F89F5E"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(Compounding Proceedings) Rules, 2024</w:t>
      </w:r>
    </w:p>
    <w:p w14:paraId="76F89F5F"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(Non-Debt Instruments) Rules, 2019</w:t>
      </w:r>
    </w:p>
    <w:p w14:paraId="76F89F60" w14:textId="77777777" w:rsidR="00694466" w:rsidRPr="00AC3FC1" w:rsidRDefault="005560FE">
      <w:pPr>
        <w:numPr>
          <w:ilvl w:val="0"/>
          <w:numId w:val="2"/>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(Overseas Investment) Rules, 2022</w:t>
      </w:r>
    </w:p>
    <w:p w14:paraId="76F89F6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b/>
          <w:bCs/>
          <w:color w:val="000000"/>
        </w:rPr>
        <w:t>Regulations (RBI)</w:t>
      </w:r>
    </w:p>
    <w:p w14:paraId="76F89F62"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lastRenderedPageBreak/>
        <w:t>Foreign Exchange Management (Authorised Persons) Regulations, 2026</w:t>
      </w:r>
    </w:p>
    <w:p w14:paraId="76F89F63"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(Borrowing and Lending) Regulations, 2018</w:t>
      </w:r>
    </w:p>
    <w:p w14:paraId="76F89F64"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(Cross Border Merger) Regulations, 2018</w:t>
      </w:r>
    </w:p>
    <w:p w14:paraId="76F89F65"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(Crystallization of Inoperative Foreign Currency Deposits) Regulations, 2014</w:t>
      </w:r>
    </w:p>
    <w:p w14:paraId="76F89F66"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(Debt Instruments) Regulations, 2019</w:t>
      </w:r>
    </w:p>
    <w:p w14:paraId="76F89F67"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(Deposit) Regulations, 2016</w:t>
      </w:r>
    </w:p>
    <w:p w14:paraId="76F89F68"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(Establishment in India of a Branch, Liaison or Project Office) Regulations, 2016</w:t>
      </w:r>
    </w:p>
    <w:p w14:paraId="76F89F69"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(Export and Import of Currency) Regulations, 2015</w:t>
      </w:r>
    </w:p>
    <w:p w14:paraId="76F89F6A"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(Export and Import of Goods and Services) Regulations, 2026</w:t>
      </w:r>
    </w:p>
    <w:p w14:paraId="76F89F6B"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(Export of Goods and Services) Regulations, 2015 (being phased out)</w:t>
      </w:r>
    </w:p>
    <w:p w14:paraId="76F89F6C"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(Foreign Currency Accounts by a Person Resident in India) Regulations, 2015</w:t>
      </w:r>
    </w:p>
    <w:p w14:paraId="76F89F6D"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(Foreign Exchange Derivative Contracts) Regulations, 2000</w:t>
      </w:r>
    </w:p>
    <w:p w14:paraId="76F89F6E"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(Guarantees) Regulations, 2026</w:t>
      </w:r>
    </w:p>
    <w:p w14:paraId="76F89F6F"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(Insurance) Regulations, 2015</w:t>
      </w:r>
    </w:p>
    <w:p w14:paraId="76F89F70"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(International Financial Services Centre) Regulations, 2015</w:t>
      </w:r>
    </w:p>
    <w:p w14:paraId="76F89F71"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(Issue of Security in India by a Branch, Office or Agency of a Person Resident Outside India) Regulations, 2000</w:t>
      </w:r>
    </w:p>
    <w:p w14:paraId="76F89F72"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(Manner of Receipt and Payment) Regulations, 2023</w:t>
      </w:r>
    </w:p>
    <w:p w14:paraId="76F89F73"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(Margin for Derivative Contracts) Regulations, 2020</w:t>
      </w:r>
    </w:p>
    <w:p w14:paraId="76F89F74"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(Mode of Payment and Reporting of Non-Debt Instruments) Regulations, 2019</w:t>
      </w:r>
    </w:p>
    <w:p w14:paraId="76F89F75"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(Offshore Banking Units) Regulations, 2002</w:t>
      </w:r>
    </w:p>
    <w:p w14:paraId="76F89F76"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(Overseas Investment) Regulations, 2022</w:t>
      </w:r>
    </w:p>
    <w:p w14:paraId="76F89F77"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(Permissible Capital Account Transactions) Regulations, 2000</w:t>
      </w:r>
    </w:p>
    <w:p w14:paraId="76F89F78"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(Possession and Retention of Foreign Currency) Regulations, 2015</w:t>
      </w:r>
    </w:p>
    <w:p w14:paraId="76F89F79"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(Realisation, Repatriation and Surrender of Foreign Exchange) Regulations, 2015</w:t>
      </w:r>
    </w:p>
    <w:p w14:paraId="76F89F7A"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(Regularization of Assets Held Abroad by a Person Resident in India) Regulations, 2015</w:t>
      </w:r>
    </w:p>
    <w:p w14:paraId="76F89F7B"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(Remittance of Assets) Regulations, 2016</w:t>
      </w:r>
    </w:p>
    <w:p w14:paraId="76F89F7C"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(Withdrawal of General Permission to Overseas Corporate Bodies) Regulations, 2003</w:t>
      </w:r>
    </w:p>
    <w:p w14:paraId="76F89F7D" w14:textId="77777777" w:rsidR="00694466" w:rsidRPr="00AC3FC1" w:rsidRDefault="005560FE">
      <w:pPr>
        <w:numPr>
          <w:ilvl w:val="0"/>
          <w:numId w:val="3"/>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Foreign Exchange Management (Acquisition and Transfer of Immovable Property Outside India) Regulations, 2015</w:t>
      </w:r>
    </w:p>
    <w:p w14:paraId="76F89F7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b/>
          <w:bCs/>
          <w:color w:val="000000"/>
        </w:rPr>
        <w:lastRenderedPageBreak/>
        <w:t>Master Directions (RBI)</w:t>
      </w:r>
    </w:p>
    <w:p w14:paraId="76F89F7F"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Master Direction - Compounding of Contraventions under FEMA, 1999</w:t>
      </w:r>
    </w:p>
    <w:p w14:paraId="76F89F80"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ED1029">
        <w:rPr>
          <w:rFonts w:ascii="Times New Roman" w:eastAsia="Times New Roman" w:hAnsi="Times New Roman" w:cs="Times New Roman"/>
          <w:color w:val="EE0000"/>
        </w:rPr>
        <w:t>Master Direction - Overseas Investment</w:t>
      </w:r>
    </w:p>
    <w:p w14:paraId="76F89F81"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Master Direction - External Commercial Borrowings, Trade Credits and Structured Obligations</w:t>
      </w:r>
    </w:p>
    <w:p w14:paraId="76F89F82"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Master Direction - Foreign Investment in India</w:t>
      </w:r>
    </w:p>
    <w:p w14:paraId="76F89F83" w14:textId="77777777" w:rsidR="00694466" w:rsidRPr="000F4469"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0F4469">
        <w:rPr>
          <w:rFonts w:ascii="Times New Roman" w:eastAsia="Times New Roman" w:hAnsi="Times New Roman" w:cs="Times New Roman"/>
          <w:color w:val="EE0000"/>
        </w:rPr>
        <w:t>Master Direction - Money Transfer Service Scheme (MTSS)</w:t>
      </w:r>
    </w:p>
    <w:p w14:paraId="76F89F84" w14:textId="77777777" w:rsidR="00694466" w:rsidRPr="000F4469"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0F4469">
        <w:rPr>
          <w:rFonts w:ascii="Times New Roman" w:eastAsia="Times New Roman" w:hAnsi="Times New Roman" w:cs="Times New Roman"/>
          <w:color w:val="EE0000"/>
        </w:rPr>
        <w:t>Master Direction - Insurance</w:t>
      </w:r>
    </w:p>
    <w:p w14:paraId="76F89F85"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Master Direction - Establishment of Branch Office, Liaison Office or Project Office by Foreign Entities</w:t>
      </w:r>
    </w:p>
    <w:p w14:paraId="76F89F86" w14:textId="77777777" w:rsidR="00694466" w:rsidRPr="00AC3FC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Master Direction - Direct Investment by Residents in Joint Venture or Wholly Owned Subsidiary Abroad</w:t>
      </w:r>
    </w:p>
    <w:p w14:paraId="76F89F87" w14:textId="77777777" w:rsidR="00694466" w:rsidRPr="000F4469"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0F4469">
        <w:rPr>
          <w:rFonts w:ascii="Times New Roman" w:eastAsia="Times New Roman" w:hAnsi="Times New Roman" w:cs="Times New Roman"/>
          <w:color w:val="EE0000"/>
        </w:rPr>
        <w:t>Master Direction - Borrowing and Lending in Indian Rupee between Residents and NRIs or PIOs</w:t>
      </w:r>
    </w:p>
    <w:p w14:paraId="76F89F88" w14:textId="77777777" w:rsidR="00694466" w:rsidRPr="000F4469"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0F4469">
        <w:rPr>
          <w:rFonts w:ascii="Times New Roman" w:eastAsia="Times New Roman" w:hAnsi="Times New Roman" w:cs="Times New Roman"/>
          <w:color w:val="EE0000"/>
        </w:rPr>
        <w:t>Master Direction - Liberalised Remittance Scheme (LRS)</w:t>
      </w:r>
    </w:p>
    <w:p w14:paraId="76F89F89"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Other Remittance Facilities</w:t>
      </w:r>
    </w:p>
    <w:p w14:paraId="76F89F8A"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Acquisition or Transfer of Immovable Property under FEMA</w:t>
      </w:r>
    </w:p>
    <w:p w14:paraId="76F89F8B"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Remittance of Assets</w:t>
      </w:r>
    </w:p>
    <w:p w14:paraId="76F89F8C"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Deposits and Accounts</w:t>
      </w:r>
    </w:p>
    <w:p w14:paraId="76F89F8D"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Import of Goods and Services</w:t>
      </w:r>
    </w:p>
    <w:p w14:paraId="76F89F8E"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Reporting under FEMA, 1999</w:t>
      </w:r>
    </w:p>
    <w:p w14:paraId="76F89F8F"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Miscellaneous</w:t>
      </w:r>
    </w:p>
    <w:p w14:paraId="76F89F90"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Opening and Maintenance of Vostro Accounts of Non-resident Exchange Houses</w:t>
      </w:r>
    </w:p>
    <w:p w14:paraId="76F89F91"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Export of Goods and Services</w:t>
      </w:r>
    </w:p>
    <w:p w14:paraId="76F89F92" w14:textId="77777777" w:rsidR="00694466" w:rsidRPr="00D86821" w:rsidRDefault="005560FE">
      <w:pPr>
        <w:numPr>
          <w:ilvl w:val="0"/>
          <w:numId w:val="4"/>
        </w:numPr>
        <w:pBdr>
          <w:top w:val="nil"/>
          <w:left w:val="nil"/>
          <w:bottom w:val="nil"/>
          <w:right w:val="nil"/>
          <w:between w:val="nil"/>
        </w:pBdr>
        <w:spacing w:before="36" w:after="36"/>
        <w:jc w:val="both"/>
        <w:rPr>
          <w:rFonts w:ascii="Times New Roman" w:eastAsia="Times New Roman" w:hAnsi="Times New Roman" w:cs="Times New Roman"/>
          <w:color w:val="EE0000"/>
        </w:rPr>
      </w:pPr>
      <w:r w:rsidRPr="00D86821">
        <w:rPr>
          <w:rFonts w:ascii="Times New Roman" w:eastAsia="Times New Roman" w:hAnsi="Times New Roman" w:cs="Times New Roman"/>
          <w:color w:val="EE0000"/>
        </w:rPr>
        <w:t>Master Direction - Money Changing Activities</w:t>
      </w:r>
    </w:p>
    <w:p w14:paraId="76F89F9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b/>
          <w:bCs/>
          <w:color w:val="000000"/>
        </w:rPr>
        <w:t>Adjacent instruments (read with FEMA but not made under it)</w:t>
      </w:r>
    </w:p>
    <w:p w14:paraId="76F89F94" w14:textId="77777777" w:rsidR="00694466" w:rsidRPr="00AC3FC1" w:rsidRDefault="005560FE">
      <w:pPr>
        <w:numPr>
          <w:ilvl w:val="0"/>
          <w:numId w:val="5"/>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DPIIT Consolidated FDI Policy and Press Notes</w:t>
      </w:r>
    </w:p>
    <w:p w14:paraId="76F89F95" w14:textId="77777777" w:rsidR="00694466" w:rsidRPr="00AC3FC1" w:rsidRDefault="005560FE">
      <w:pPr>
        <w:numPr>
          <w:ilvl w:val="0"/>
          <w:numId w:val="5"/>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Enforcement Directorate procedure</w:t>
      </w:r>
    </w:p>
    <w:p w14:paraId="76F89F96" w14:textId="77777777" w:rsidR="00694466" w:rsidRPr="00AC3FC1" w:rsidRDefault="005560FE">
      <w:pPr>
        <w:numPr>
          <w:ilvl w:val="0"/>
          <w:numId w:val="5"/>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RBI FAQs</w:t>
      </w:r>
    </w:p>
    <w:p w14:paraId="76F89F97" w14:textId="77777777" w:rsidR="00694466" w:rsidRPr="00AC3FC1" w:rsidRDefault="005560FE">
      <w:pPr>
        <w:numPr>
          <w:ilvl w:val="0"/>
          <w:numId w:val="5"/>
        </w:numPr>
        <w:pBdr>
          <w:top w:val="nil"/>
          <w:left w:val="nil"/>
          <w:bottom w:val="nil"/>
          <w:right w:val="nil"/>
          <w:between w:val="nil"/>
        </w:pBdr>
        <w:spacing w:before="36" w:after="36"/>
        <w:jc w:val="both"/>
        <w:rPr>
          <w:rFonts w:ascii="Times New Roman" w:eastAsia="Times New Roman" w:hAnsi="Times New Roman" w:cs="Times New Roman"/>
        </w:rPr>
      </w:pPr>
      <w:r w:rsidRPr="00AC3FC1">
        <w:rPr>
          <w:rFonts w:ascii="Times New Roman" w:eastAsia="Times New Roman" w:hAnsi="Times New Roman" w:cs="Times New Roman"/>
          <w:color w:val="000000"/>
        </w:rPr>
        <w:t>A.P. (DIR Series) circulars</w:t>
      </w:r>
    </w:p>
    <w:p w14:paraId="76F89F98"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D1">
          <v:rect id="_x0000_i1036" style="width:0;height:1.5pt" o:hralign="center" o:hrstd="t" o:hr="t" fillcolor="#a0a0a0" stroked="f"/>
        </w:pict>
      </w:r>
    </w:p>
    <w:p w14:paraId="76F89F99" w14:textId="77777777" w:rsidR="00694466" w:rsidRPr="00AC3FC1" w:rsidRDefault="005560FE">
      <w:pPr>
        <w:pStyle w:val="Heading2"/>
        <w:jc w:val="both"/>
        <w:rPr>
          <w:rFonts w:ascii="Times New Roman" w:eastAsia="Times New Roman" w:hAnsi="Times New Roman" w:cs="Times New Roman"/>
          <w:sz w:val="24"/>
          <w:szCs w:val="24"/>
        </w:rPr>
      </w:pPr>
      <w:bookmarkStart w:id="62" w:name="bookmark=id.ggietd8hlz16" w:colFirst="0" w:colLast="0"/>
      <w:bookmarkEnd w:id="62"/>
      <w:r w:rsidRPr="00AC3FC1">
        <w:rPr>
          <w:rFonts w:ascii="Times New Roman" w:eastAsia="Times New Roman" w:hAnsi="Times New Roman" w:cs="Times New Roman"/>
          <w:sz w:val="24"/>
          <w:szCs w:val="24"/>
        </w:rPr>
        <w:t>PART L. HOW THE DETAIL LAYER IS TO BE USED</w:t>
      </w:r>
    </w:p>
    <w:p w14:paraId="76F89F9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 xml:space="preserve">Part M records the mechanics of the principal instruments: the shape of each test, gate, and formula. It applies the figure rule stated at the outset. Where a number decides transaction structure or the answer (a route-flipping threshold, a classification threshold, a realisation window, a statutory penalty), it is stated in the text with a "[verify: live source]" marker, because a reader cannot resolve the question without it. Where a number is purely operational and volatile (a full sectoral cap table, an exact all-in-cost spread, a fee schedule), the layer describes its shape and points to the source rather than reproducing it. The live sources are the RBI Legal Framework </w:t>
      </w:r>
      <w:r w:rsidRPr="00AC3FC1">
        <w:rPr>
          <w:rFonts w:ascii="Times New Roman" w:eastAsia="Times New Roman" w:hAnsi="Times New Roman" w:cs="Times New Roman"/>
          <w:color w:val="000000"/>
        </w:rPr>
        <w:lastRenderedPageBreak/>
        <w:t>pages (Rules, Regulations), the RBI Master Directions page, the current A.P. (DIR Series) circulars, and, for sectoral caps, the DPIIT Consolidated FDI Policy and Press Notes.</w:t>
      </w:r>
    </w:p>
    <w:p w14:paraId="76F89F9B"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D2">
          <v:rect id="_x0000_i1037" style="width:0;height:1.5pt" o:hralign="center" o:hrstd="t" o:hr="t" fillcolor="#a0a0a0" stroked="f"/>
        </w:pict>
      </w:r>
    </w:p>
    <w:p w14:paraId="76F89F9C" w14:textId="77777777" w:rsidR="00694466" w:rsidRPr="00AC3FC1" w:rsidRDefault="005560FE">
      <w:pPr>
        <w:pStyle w:val="Heading2"/>
        <w:jc w:val="both"/>
        <w:rPr>
          <w:rFonts w:ascii="Times New Roman" w:eastAsia="Times New Roman" w:hAnsi="Times New Roman" w:cs="Times New Roman"/>
          <w:sz w:val="24"/>
          <w:szCs w:val="24"/>
        </w:rPr>
      </w:pPr>
      <w:bookmarkStart w:id="63" w:name="bookmark=id.e3xmmi6n48kd" w:colFirst="0" w:colLast="0"/>
      <w:bookmarkEnd w:id="63"/>
      <w:r w:rsidRPr="00AC3FC1">
        <w:rPr>
          <w:rFonts w:ascii="Times New Roman" w:eastAsia="Times New Roman" w:hAnsi="Times New Roman" w:cs="Times New Roman"/>
          <w:sz w:val="24"/>
          <w:szCs w:val="24"/>
        </w:rPr>
        <w:t>PART M. DETAIL LAYER: MECHANICS OF THE PRINCIPAL INSTRUMENTS</w:t>
      </w:r>
    </w:p>
    <w:p w14:paraId="76F89F9D" w14:textId="77777777" w:rsidR="00694466" w:rsidRPr="00AC3FC1" w:rsidRDefault="005560FE">
      <w:pPr>
        <w:pStyle w:val="Heading3"/>
        <w:jc w:val="both"/>
        <w:rPr>
          <w:rFonts w:ascii="Times New Roman" w:eastAsia="Times New Roman" w:hAnsi="Times New Roman" w:cs="Times New Roman"/>
        </w:rPr>
      </w:pPr>
      <w:bookmarkStart w:id="64" w:name="bookmark=id.ahq81c6i6mn7" w:colFirst="0" w:colLast="0"/>
      <w:bookmarkEnd w:id="64"/>
      <w:r w:rsidRPr="00AC3FC1">
        <w:rPr>
          <w:rFonts w:ascii="Times New Roman" w:eastAsia="Times New Roman" w:hAnsi="Times New Roman" w:cs="Times New Roman"/>
        </w:rPr>
        <w:t>M.1 FDI under the Non-Debt Instruments Rules, 2019</w:t>
      </w:r>
    </w:p>
    <w:p w14:paraId="76F89F9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Route determination: identify the target's sector; read the sectoral cap and route from the Consolidated FDI Policy [verify: live source]. If the sector permits 100% under the automatic route with no performance conditions, no prior approval is needed. Otherwise the Government route applies to the portion above the automatic threshold, or to the whole where the sector is approval-only. Unless specif</w:t>
      </w:r>
      <w:r w:rsidRPr="00AC3FC1">
        <w:rPr>
          <w:rFonts w:ascii="Times New Roman" w:eastAsia="Times New Roman" w:hAnsi="Times New Roman" w:cs="Times New Roman"/>
        </w:rPr>
        <w:t>ically prohibited, FDI is allowed 100%</w:t>
      </w:r>
    </w:p>
    <w:p w14:paraId="76F89F9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Prohibited sectors: certain sectors admit no foreign investment [verify: live source for the current list, which typically includes lottery and gambling, chit funds, Nidhi companies, real-estate business (as distinct from construction-development), and manufacturing of tobacco products].</w:t>
      </w:r>
    </w:p>
    <w:p w14:paraId="76F89FA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Pricing (Rule 21): floor for inbound, ceiling for outbound; listed by SEBI guidelines, unlisted by an internationally accepted methodology on an arm's-length basis; certified by an eligible professional; valuation certificate valid for 90 days [verify: live source], so allotment must occur within that window. No assured exit return above fair value (see G.6).</w:t>
      </w:r>
    </w:p>
    <w:p w14:paraId="76F89FA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Performance conditions: some sectors impose minimum capitalisation, lock-in, or sourcing norms [verify: live source].</w:t>
      </w:r>
    </w:p>
    <w:p w14:paraId="76F89FA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Reporting: FC-GPR for issue to a non-resident (within 30 days of allotment); FC-TRS for transfer across the residency line (within 60 days of transfer or remittance); LLP forms for LLPs; Form DI for downstream investment (within 30 days of the downstream allotment) [verify: live source for all windows], on FIRMS. These windows are decision-critical because a missed window is itself a contravention that must be compounded.</w:t>
      </w:r>
    </w:p>
    <w:p w14:paraId="76F89FA3" w14:textId="77777777" w:rsidR="00694466" w:rsidRPr="00AC3FC1" w:rsidRDefault="005560FE">
      <w:pPr>
        <w:pStyle w:val="Heading3"/>
        <w:jc w:val="both"/>
        <w:rPr>
          <w:rFonts w:ascii="Times New Roman" w:eastAsia="Times New Roman" w:hAnsi="Times New Roman" w:cs="Times New Roman"/>
        </w:rPr>
      </w:pPr>
      <w:bookmarkStart w:id="65" w:name="bookmark=id.thnt0rornw1b" w:colFirst="0" w:colLast="0"/>
      <w:bookmarkEnd w:id="65"/>
      <w:r w:rsidRPr="00AC3FC1">
        <w:rPr>
          <w:rFonts w:ascii="Times New Roman" w:eastAsia="Times New Roman" w:hAnsi="Times New Roman" w:cs="Times New Roman"/>
        </w:rPr>
        <w:t>M.2 Overseas investment under the OI Rules an</w:t>
      </w:r>
      <w:sdt>
        <w:sdtPr>
          <w:rPr>
            <w:rFonts w:ascii="Times New Roman" w:hAnsi="Times New Roman" w:cs="Times New Roman"/>
          </w:rPr>
          <w:tag w:val="goog_rdk_10"/>
          <w:id w:val="1331643982"/>
        </w:sdtPr>
        <w:sdtEndPr/>
        <w:sdtContent>
          <w:commentRangeStart w:id="66"/>
        </w:sdtContent>
      </w:sdt>
      <w:r w:rsidRPr="00AC3FC1">
        <w:rPr>
          <w:rFonts w:ascii="Times New Roman" w:eastAsia="Times New Roman" w:hAnsi="Times New Roman" w:cs="Times New Roman"/>
        </w:rPr>
        <w:t>d Regulations, 2022</w:t>
      </w:r>
      <w:commentRangeEnd w:id="66"/>
      <w:r w:rsidRPr="00AC3FC1">
        <w:rPr>
          <w:rStyle w:val="CommentReference"/>
          <w:rFonts w:ascii="Times New Roman" w:eastAsia="Times New Roman" w:hAnsi="Times New Roman" w:cs="Times New Roman"/>
          <w:sz w:val="24"/>
          <w:szCs w:val="24"/>
        </w:rPr>
        <w:commentReference w:id="66"/>
      </w:r>
    </w:p>
    <w:p w14:paraId="76F89FA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Classification: ODI where the resident acquires 10% or more of a foreign entity, or acquires control, or invests in an unlisted foreign entity; OPI otherwise (a smaller, non-controlling holding, typically in listed securities or foreign funds).</w:t>
      </w:r>
    </w:p>
    <w:p w14:paraId="76F89FA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Financial commitment: the aggregate of equity, debt, and non-fund exposure (guarantees, and pledge or charge). It excludes OPI. It is capped at 400% of the resident entity's net worth [verify: live source], computed on the investing entity's own net worth (the practice of aggregating group net worth was discontinued in 2022). This ceiling is decision-critical: commitment within it is available under the automatic route; commitment beyond it requires approval.</w:t>
      </w:r>
    </w:p>
    <w:p w14:paraId="76F89FA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Route: most ODI is automatic if conditions are met. Approval is required for restricted jurisdictions, where the investor is otherwise ineligible, or where financial commitment exceeds USD 1 billion (or equivalent) in a financial year even though within the 400% ceiling [verify: live source for both thresholds].</w:t>
      </w:r>
    </w:p>
    <w:p w14:paraId="76F89FA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Conditions and bars: the foreign entity must carry on bona fide business activity, and this is a continuing obligation, not a one-time declaration. A resident who is a wilful defaulter, has an account classified as a non-performing asset, or is under investigation by a financial regulator or an investigative agency must obtain a No Objection Certificate before making a financial commitment.</w:t>
      </w:r>
    </w:p>
    <w:p w14:paraId="76F89FA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Round-tripping and layering: a structure must not exceed the permitted number of subsidiary layers, and investment that flows back to India is scrutinised (see G.8).</w:t>
      </w:r>
    </w:p>
    <w:p w14:paraId="76F89FA9"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Reporting: Form FC for the financial commitment; Annual Performance Report each year for each foreign entity; late filing is regularised through a Late Submission Fee computed on a formula tied to the amount and the period of delay [verify: live source for the formula and rates].</w:t>
      </w:r>
    </w:p>
    <w:p w14:paraId="76F89FAA" w14:textId="77777777" w:rsidR="00694466" w:rsidRPr="00AC3FC1" w:rsidRDefault="005560FE">
      <w:pPr>
        <w:pStyle w:val="Heading3"/>
        <w:jc w:val="both"/>
        <w:rPr>
          <w:rFonts w:ascii="Times New Roman" w:eastAsia="Times New Roman" w:hAnsi="Times New Roman" w:cs="Times New Roman"/>
        </w:rPr>
      </w:pPr>
      <w:bookmarkStart w:id="67" w:name="bookmark=id.7nicy4eyix9s" w:colFirst="0" w:colLast="0"/>
      <w:bookmarkEnd w:id="67"/>
      <w:r w:rsidRPr="00AC3FC1">
        <w:rPr>
          <w:rFonts w:ascii="Times New Roman" w:eastAsia="Times New Roman" w:hAnsi="Times New Roman" w:cs="Times New Roman"/>
        </w:rPr>
        <w:t>M.3 External commercial borrowings under the Borrowing and Lending Regulations, 2018</w:t>
      </w:r>
    </w:p>
    <w:p w14:paraId="76F89FAB"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Eligibility: the borrower must be an eligible borrower and the lender a recognised lender, both defined by the framework [verify: live source for the current lists].</w:t>
      </w:r>
    </w:p>
    <w:p w14:paraId="76F89FA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All-in-cost: the total cost of the borrowing (interest, fees, and expenses, expressed as a spread over a benchmark reference rate) must not exceed the all-in-cost ceiling [verify: live source for the benchmark and the permitted spread].</w:t>
      </w:r>
    </w:p>
    <w:p w14:paraId="76F89FA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Minimum average maturity: the borrowing must carry at least a stated minimum average maturity, which varies by category and end-use [verify: live source].</w:t>
      </w:r>
    </w:p>
    <w:p w14:paraId="76F89FAE"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End-use: certain uses are prohibited (a negative list, for example on-lending or real-estate speculation, subject to exceptions) [verify: live source].</w:t>
      </w:r>
    </w:p>
    <w:p w14:paraId="76F89FA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Hedging and other conditions: certain borrowers must hedge currency exposure; a Loan Registration Number must be obtained before drawdown.</w:t>
      </w:r>
    </w:p>
    <w:p w14:paraId="76F89FB0"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Security and guarantees: domestic and cross-border security and guarantees are permitted subject to conditions. Reporting: Form ECB before drawdown, Form ECB-2 monthly. The 2026 amendment adds an untraceable-borrower mechanism for entities failing ongoing reporting or KYC.</w:t>
      </w:r>
    </w:p>
    <w:p w14:paraId="76F89FB1" w14:textId="77777777" w:rsidR="00694466" w:rsidRPr="00AC3FC1" w:rsidRDefault="005560FE">
      <w:pPr>
        <w:pStyle w:val="Heading3"/>
        <w:jc w:val="both"/>
        <w:rPr>
          <w:rFonts w:ascii="Times New Roman" w:eastAsia="Times New Roman" w:hAnsi="Times New Roman" w:cs="Times New Roman"/>
        </w:rPr>
      </w:pPr>
      <w:bookmarkStart w:id="68" w:name="bookmark=id.18zl5ia6hosm" w:colFirst="0" w:colLast="0"/>
      <w:bookmarkEnd w:id="68"/>
      <w:r w:rsidRPr="00AC3FC1">
        <w:rPr>
          <w:rFonts w:ascii="Times New Roman" w:eastAsia="Times New Roman" w:hAnsi="Times New Roman" w:cs="Times New Roman"/>
        </w:rPr>
        <w:t>M.4 Trade under the Export and Import Regulations, 2026</w:t>
      </w:r>
    </w:p>
    <w:p w14:paraId="76F89FB2"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Realisation and repatriation: export proceeds must be realised and repatriated within 15 months from shipment (goods) or invoice (services), or within 18 months where invoiced or settled in rupees [verify: live source for both periods]. Warehouse exports run the period from the date of sale. These windows are answer-deciding: proceeds outstanding beyond them are a contravention.</w:t>
      </w:r>
    </w:p>
    <w:p w14:paraId="76F89FB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Declaration: exports are declared on the unified Export Declaration Form (EDF), which replaced the earlier separate forms.</w:t>
      </w:r>
    </w:p>
    <w:p w14:paraId="76F89FB4"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Monitoring-system reconciliation: AD banks credit or debit accounts only after verifying the transaction and updating or closing the entry in EDPMS (exports) or IDPMS (imports). For small-value transactions up to INR 10 lakh (or foreign-currency equivalent) [verify: live source], entries may be closed on the trader's self-declaration, including quarterly bulk closure. The threshold decides which compliance path applies: self-declaration below it, full AD verification above it.</w:t>
      </w:r>
    </w:p>
    <w:p w14:paraId="76F89FB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lastRenderedPageBreak/>
        <w:t>Advance payments: exporters may receive advances subject to conditions; where an import against an advance does not materialise, the importer must repatriate the advance, and failure to do so (or an unmarked IDPMS entry) restricts future advance import payments to those backed by an unconditional and irrevocable letter of credit or bank guarantee.</w:t>
      </w:r>
    </w:p>
    <w:p w14:paraId="76F89FB6"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Write-off, reduction, and set-off: AD banks may permit reduction or non-realisation of export value on satisfactory reasons, and may permit set-off of export receivables against import payables, subject to bona fides.</w:t>
      </w:r>
    </w:p>
    <w:p w14:paraId="76F89FB7"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Third-party and merchanting: third-party receipts and payments are permitted subject to conditions; merchanting trade transactions are subject to a maximum time gap between the outward and inward remittance, extendable by the AD bank on reasonable grounds [verify: live source for the time gap].</w:t>
      </w:r>
    </w:p>
    <w:p w14:paraId="76F89FB8"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AD governance: AD banks must maintain internal policies and standard operating procedures covering approvals, documentation, timelines, and grievance redressal, and exercise the wider discretion the 2026 regime confers.</w:t>
      </w:r>
    </w:p>
    <w:p w14:paraId="76F89FB9" w14:textId="77777777" w:rsidR="00694466" w:rsidRPr="00AC3FC1" w:rsidRDefault="005560FE">
      <w:pPr>
        <w:pStyle w:val="Heading3"/>
        <w:jc w:val="both"/>
        <w:rPr>
          <w:rFonts w:ascii="Times New Roman" w:eastAsia="Times New Roman" w:hAnsi="Times New Roman" w:cs="Times New Roman"/>
        </w:rPr>
      </w:pPr>
      <w:bookmarkStart w:id="69" w:name="bookmark=id.hxx6577t7ne9" w:colFirst="0" w:colLast="0"/>
      <w:bookmarkEnd w:id="69"/>
      <w:r w:rsidRPr="00AC3FC1">
        <w:rPr>
          <w:rFonts w:ascii="Times New Roman" w:eastAsia="Times New Roman" w:hAnsi="Times New Roman" w:cs="Times New Roman"/>
        </w:rPr>
        <w:t>M.5 Foreign investment: entry routes, caps, downstream (cross-reference)</w:t>
      </w:r>
    </w:p>
    <w:p w14:paraId="76F89FBA"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mechanics of entry routes (G.4), sectoral caps and performance conditions (G.5), pricing (G.6), the land-border rule (G.7), and downstream investment by a FOCC (G.2) are set out in Part G because they are shared across domains. In application: identify the sector and cap; identify the route; test the investor for the land-border rule and beneficial ownership; if the Indian investor is itself a FOCC, apply the downstream conditions; price under Rule 21; report on the correct form.</w:t>
      </w:r>
    </w:p>
    <w:p w14:paraId="76F89FBB" w14:textId="77777777" w:rsidR="00694466" w:rsidRPr="00AC3FC1" w:rsidRDefault="005560FE">
      <w:pPr>
        <w:pStyle w:val="Heading3"/>
        <w:jc w:val="both"/>
        <w:rPr>
          <w:rFonts w:ascii="Times New Roman" w:eastAsia="Times New Roman" w:hAnsi="Times New Roman" w:cs="Times New Roman"/>
        </w:rPr>
      </w:pPr>
      <w:bookmarkStart w:id="70" w:name="bookmark=id.cmzx6bk5vadz" w:colFirst="0" w:colLast="0"/>
      <w:bookmarkEnd w:id="70"/>
      <w:r w:rsidRPr="00AC3FC1">
        <w:rPr>
          <w:rFonts w:ascii="Times New Roman" w:eastAsia="Times New Roman" w:hAnsi="Times New Roman" w:cs="Times New Roman"/>
        </w:rPr>
        <w:t>M.6 Immovable property (cross-reference F.7)</w:t>
      </w:r>
    </w:p>
    <w:p w14:paraId="76F89FBC"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Permitted acquirers and property: NRIs and OCIs may acquire residential and commercial property; they may not acquire agricultural land, farmhouses, or plantation property (except by inheritance). Foreign nationals of non-Indian origin resident outside India are, in general, not permitted to acquire property other than by inheritance or with approval; a resident foreign national follows the resident rules.</w:t>
      </w:r>
    </w:p>
    <w:p w14:paraId="76F89FBD"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Repatriation of sale proceeds: capped by the number of residential properties and conditioned on the mode of the original acquisition (foreign exchange through banking channels, or NRE or FCNR funds) [verify: live source for the cap].</w:t>
      </w:r>
    </w:p>
    <w:p w14:paraId="76F89FBE" w14:textId="77777777" w:rsidR="00694466" w:rsidRPr="00AC3FC1" w:rsidRDefault="005560FE">
      <w:pPr>
        <w:pStyle w:val="Heading3"/>
        <w:jc w:val="both"/>
        <w:rPr>
          <w:rFonts w:ascii="Times New Roman" w:eastAsia="Times New Roman" w:hAnsi="Times New Roman" w:cs="Times New Roman"/>
        </w:rPr>
      </w:pPr>
      <w:bookmarkStart w:id="71" w:name="bookmark=id.85tlxgiqze9e" w:colFirst="0" w:colLast="0"/>
      <w:bookmarkEnd w:id="71"/>
      <w:r w:rsidRPr="00AC3FC1">
        <w:rPr>
          <w:rFonts w:ascii="Times New Roman" w:eastAsia="Times New Roman" w:hAnsi="Times New Roman" w:cs="Times New Roman"/>
        </w:rPr>
        <w:t>M.7 Depos</w:t>
      </w:r>
      <w:sdt>
        <w:sdtPr>
          <w:rPr>
            <w:rFonts w:ascii="Times New Roman" w:hAnsi="Times New Roman" w:cs="Times New Roman"/>
          </w:rPr>
          <w:tag w:val="goog_rdk_11"/>
          <w:id w:val="1585118965"/>
        </w:sdtPr>
        <w:sdtEndPr/>
        <w:sdtContent>
          <w:commentRangeStart w:id="72"/>
        </w:sdtContent>
      </w:sdt>
      <w:r w:rsidRPr="00AC3FC1">
        <w:rPr>
          <w:rFonts w:ascii="Times New Roman" w:eastAsia="Times New Roman" w:hAnsi="Times New Roman" w:cs="Times New Roman"/>
        </w:rPr>
        <w:t>its and accounts (cross-reference F.6)</w:t>
      </w:r>
      <w:commentRangeEnd w:id="72"/>
      <w:r w:rsidRPr="00AC3FC1">
        <w:rPr>
          <w:rStyle w:val="CommentReference"/>
          <w:rFonts w:ascii="Times New Roman" w:eastAsia="Times New Roman" w:hAnsi="Times New Roman" w:cs="Times New Roman"/>
          <w:sz w:val="24"/>
          <w:szCs w:val="24"/>
        </w:rPr>
        <w:commentReference w:id="72"/>
      </w:r>
    </w:p>
    <w:p w14:paraId="76F89FBF"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Account types and their attributes: NRE (rupee, foreign-source, freely repatriable); NRO (rupee, India-source, repatriation capped); FCNR(B) (foreign currency, insulated from rupee movement); SNRR (special non-resident rupee, for specific business purposes); EEFC (a resident exporter's account for retaining a portion of foreign-exchange earnings). Eligibility, permitted credits and debits, and repatriability differ by type and are set by the Deposit Regulations and the Deposits and Accounts Master Direction [verify: live source].</w:t>
      </w:r>
    </w:p>
    <w:p w14:paraId="76F89FC0" w14:textId="77777777" w:rsidR="00694466" w:rsidRPr="00AC3FC1" w:rsidRDefault="005560FE">
      <w:pPr>
        <w:pStyle w:val="Heading3"/>
        <w:jc w:val="both"/>
        <w:rPr>
          <w:rFonts w:ascii="Times New Roman" w:eastAsia="Times New Roman" w:hAnsi="Times New Roman" w:cs="Times New Roman"/>
        </w:rPr>
      </w:pPr>
      <w:bookmarkStart w:id="73" w:name="bookmark=id.ox77614rtf0b" w:colFirst="0" w:colLast="0"/>
      <w:bookmarkEnd w:id="73"/>
      <w:r w:rsidRPr="00AC3FC1">
        <w:rPr>
          <w:rFonts w:ascii="Times New Roman" w:eastAsia="Times New Roman" w:hAnsi="Times New Roman" w:cs="Times New Roman"/>
        </w:rPr>
        <w:lastRenderedPageBreak/>
        <w:t>M.8 Compounding (cross-reference H.2)</w:t>
      </w:r>
    </w:p>
    <w:p w14:paraId="76F89FC1"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Mechanism: a voluntary application to the RBI admitting a contravention; the RBI computes a compounding amount by reference to a published matrix tied to the nature and amount of the contravention and the period of default [verify: live source for the matrix]; on payment, the matter closes. Voluntary approach before detection generally attracts more favourable treatment. Compounding is unavailable where the matter involves serious concerns or is under ED investigation.</w:t>
      </w:r>
    </w:p>
    <w:p w14:paraId="76F89FC2" w14:textId="77777777" w:rsidR="00694466" w:rsidRPr="00AC3FC1" w:rsidRDefault="005560FE">
      <w:pPr>
        <w:pStyle w:val="Heading3"/>
        <w:jc w:val="both"/>
        <w:rPr>
          <w:rFonts w:ascii="Times New Roman" w:eastAsia="Times New Roman" w:hAnsi="Times New Roman" w:cs="Times New Roman"/>
        </w:rPr>
      </w:pPr>
      <w:bookmarkStart w:id="74" w:name="bookmark=id.pqwmb5a6hm11" w:colFirst="0" w:colLast="0"/>
      <w:bookmarkEnd w:id="74"/>
      <w:r w:rsidRPr="00AC3FC1">
        <w:rPr>
          <w:rFonts w:ascii="Times New Roman" w:eastAsia="Times New Roman" w:hAnsi="Times New Roman" w:cs="Times New Roman"/>
        </w:rPr>
        <w:t>M.9 Manner of receipt and payment (cross-reference F.5)</w:t>
      </w:r>
    </w:p>
    <w:p w14:paraId="76F89FC3"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The Manner of Receipt and Payment Regulations, 2023 prescribe the permitted currencies and channels for cross-border receipts and payments, including the Asian Clearing Union mechanism for trade with member countries, and rupee settlement through Vostro accounts. All trade settlement must conform to these Regulations, which sit underneath the trade, remittance, and investment domains.</w:t>
      </w:r>
    </w:p>
    <w:p w14:paraId="76F89FC4" w14:textId="77777777" w:rsidR="00694466" w:rsidRPr="00AC3FC1" w:rsidRDefault="00175AD2">
      <w:pPr>
        <w:jc w:val="both"/>
        <w:rPr>
          <w:rFonts w:ascii="Times New Roman" w:eastAsia="Times New Roman" w:hAnsi="Times New Roman" w:cs="Times New Roman"/>
        </w:rPr>
      </w:pPr>
      <w:r w:rsidRPr="00AC3FC1">
        <w:rPr>
          <w:rFonts w:ascii="Times New Roman" w:hAnsi="Times New Roman" w:cs="Times New Roman"/>
        </w:rPr>
        <w:pict w14:anchorId="76F89FD3">
          <v:rect id="_x0000_i1038" style="width:0;height:1.5pt" o:hralign="center" o:hrstd="t" o:hr="t" fillcolor="#a0a0a0" stroked="f"/>
        </w:pict>
      </w:r>
    </w:p>
    <w:p w14:paraId="76F89FC5" w14:textId="77777777" w:rsidR="00694466" w:rsidRPr="00AC3FC1" w:rsidRDefault="005560FE">
      <w:pPr>
        <w:pBdr>
          <w:top w:val="nil"/>
          <w:left w:val="nil"/>
          <w:bottom w:val="nil"/>
          <w:right w:val="nil"/>
          <w:between w:val="nil"/>
        </w:pBdr>
        <w:spacing w:before="180" w:after="180"/>
        <w:jc w:val="both"/>
        <w:rPr>
          <w:rFonts w:ascii="Times New Roman" w:eastAsia="Times New Roman" w:hAnsi="Times New Roman" w:cs="Times New Roman"/>
          <w:color w:val="000000"/>
        </w:rPr>
      </w:pPr>
      <w:r w:rsidRPr="00AC3FC1">
        <w:rPr>
          <w:rFonts w:ascii="Times New Roman" w:eastAsia="Times New Roman" w:hAnsi="Times New Roman" w:cs="Times New Roman"/>
          <w:color w:val="000000"/>
        </w:rPr>
        <w:t>Currency note: FEMA's subordinate law is amended frequently. In 2026 alone, the Authorised Persons, Guarantees, Export and Import, and ECB instruments were replaced or amended. Figures that decide structure or outcome are stated in the text so the ontology can resolve a question, but every one carries a "[verify: live source]" marker and none should be relied upon without checking the current position. Every instrument listed here should likewise be treated as current only as of the date of drafting. The live sources are the RBI Legal Framework pages (Rules and Regulations), the RBI Master Directions page, the current A.P. (DIR Series) circulars, and the DPIIT Consolidated FDI Policy and Press Notes.</w:t>
      </w:r>
    </w:p>
    <w:sectPr w:rsidR="00694466" w:rsidRPr="00AC3FC1">
      <w:pgSz w:w="12240" w:h="15840"/>
      <w:pgMar w:top="1440" w:right="1440" w:bottom="1440" w:left="1440" w:header="360" w:footer="36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Siddhi Kudalkar" w:date="2026-09-02T07:34:00Z" w:initials="">
    <w:p w14:paraId="76F89FD4"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 against accounts regulations and confirm.</w:t>
      </w:r>
    </w:p>
  </w:comment>
  <w:comment w:id="17" w:author="Siddhi Kudalkar" w:date="2026-09-02T07:36:00Z" w:initials="">
    <w:p w14:paraId="76F89FD5"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18" w:author="Siddhi Kudalkar" w:date="2026-09-02T07:35:00Z" w:initials="">
    <w:p w14:paraId="76F89FD6"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20" w:author="Siddhi Kudalkar" w:date="2026-09-02T07:35:00Z" w:initials="">
    <w:p w14:paraId="76F89FD7"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23" w:author="Siddhi Kudalkar" w:date="2026-09-02T07:36:00Z" w:initials="">
    <w:p w14:paraId="76F89FD8"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31" w:author="Siddhi Kudalkar" w:date="2026-09-02T08:41:00Z" w:initials="">
    <w:p w14:paraId="76F89FD9"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34" w:author="Siddhi Kudalkar" w:date="2026-09-02T08:42:00Z" w:initials="">
    <w:p w14:paraId="76F89FDA"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37" w:author="Siddhi Kudalkar" w:date="2026-09-02T08:43:00Z" w:initials="">
    <w:p w14:paraId="76F89FDB"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 all till F-13</w:t>
      </w:r>
    </w:p>
  </w:comment>
  <w:comment w:id="38" w:author="Saniya Deogaonkar" w:date="2026-09-05T09:04:00Z" w:initials="SD">
    <w:p w14:paraId="79B97149" w14:textId="5A3BF328" w:rsidR="001F44CF" w:rsidRDefault="001F44CF">
      <w:pPr>
        <w:pStyle w:val="CommentText"/>
      </w:pPr>
      <w:r>
        <w:rPr>
          <w:rStyle w:val="CommentReference"/>
        </w:rPr>
        <w:annotationRef/>
      </w:r>
    </w:p>
  </w:comment>
  <w:comment w:id="55" w:author="Siddhi Kudalkar" w:date="2026-09-02T08:46:00Z" w:initials="">
    <w:p w14:paraId="76F89FDC"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 amounts or details of penalty</w:t>
      </w:r>
    </w:p>
  </w:comment>
  <w:comment w:id="56" w:author="Saniya Deogaonkar" w:date="2026-09-05T09:04:00Z" w:initials="SD">
    <w:p w14:paraId="4128AEE1" w14:textId="50C9C780" w:rsidR="001F44CF" w:rsidRDefault="001F44CF">
      <w:pPr>
        <w:pStyle w:val="CommentText"/>
      </w:pPr>
      <w:r>
        <w:rPr>
          <w:rStyle w:val="CommentReference"/>
        </w:rPr>
        <w:annotationRef/>
      </w:r>
    </w:p>
  </w:comment>
  <w:comment w:id="61" w:author="Siddhi Kudalkar" w:date="2026-09-02T08:59:00Z" w:initials="">
    <w:p w14:paraId="76F89FDD"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confirm this. check all of these are available.</w:t>
      </w:r>
    </w:p>
  </w:comment>
  <w:comment w:id="66" w:author="Siddhi Kudalkar" w:date="2026-09-02T09:01:00Z" w:initials="">
    <w:p w14:paraId="76F89FDE"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check</w:t>
      </w:r>
    </w:p>
  </w:comment>
  <w:comment w:id="72" w:author="Siddhi Kudalkar" w:date="2026-09-02T09:03:00Z" w:initials="">
    <w:p w14:paraId="76F89FDF" w14:textId="77777777" w:rsidR="00694466" w:rsidRDefault="000B2E7A">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5560FE">
        <w:rPr>
          <w:rFonts w:ascii="Arial" w:eastAsia="Arial" w:hAnsi="Arial" w:cs="Arial"/>
          <w:color w:val="000000"/>
          <w:sz w:val="22"/>
          <w:szCs w:val="22"/>
        </w:rPr>
        <w:t>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F89FD4" w15:done="1"/>
  <w15:commentEx w15:paraId="76F89FD5" w15:done="1"/>
  <w15:commentEx w15:paraId="76F89FD6" w15:done="1"/>
  <w15:commentEx w15:paraId="76F89FD7" w15:done="1"/>
  <w15:commentEx w15:paraId="76F89FD8" w15:done="1"/>
  <w15:commentEx w15:paraId="76F89FD9" w15:done="1"/>
  <w15:commentEx w15:paraId="76F89FDA" w15:done="1"/>
  <w15:commentEx w15:paraId="76F89FDB" w15:done="1"/>
  <w15:commentEx w15:paraId="79B97149" w15:paraIdParent="76F89FDB" w15:done="1"/>
  <w15:commentEx w15:paraId="76F89FDC" w15:done="0"/>
  <w15:commentEx w15:paraId="4128AEE1" w15:paraIdParent="76F89FDC" w15:done="0"/>
  <w15:commentEx w15:paraId="76F89FDD" w15:done="1"/>
  <w15:commentEx w15:paraId="76F89FDE" w15:done="1"/>
  <w15:commentEx w15:paraId="76F89F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976E0" w16cex:dateUtc="2026-09-05T03:34:00Z"/>
  <w16cex:commentExtensible w16cex:durableId="683B0CF3" w16cex:dateUtc="2026-09-05T0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F89FD4" w16cid:durableId="76F89FD4"/>
  <w16cid:commentId w16cid:paraId="76F89FD5" w16cid:durableId="76F89FD5"/>
  <w16cid:commentId w16cid:paraId="76F89FD6" w16cid:durableId="76F89FD6"/>
  <w16cid:commentId w16cid:paraId="76F89FD7" w16cid:durableId="76F89FD7"/>
  <w16cid:commentId w16cid:paraId="76F89FD8" w16cid:durableId="76F89FD8"/>
  <w16cid:commentId w16cid:paraId="76F89FD9" w16cid:durableId="76F89FD9"/>
  <w16cid:commentId w16cid:paraId="76F89FDA" w16cid:durableId="76F89FDA"/>
  <w16cid:commentId w16cid:paraId="76F89FDB" w16cid:durableId="76F89FDB"/>
  <w16cid:commentId w16cid:paraId="79B97149" w16cid:durableId="035976E0"/>
  <w16cid:commentId w16cid:paraId="76F89FDC" w16cid:durableId="76F89FDC"/>
  <w16cid:commentId w16cid:paraId="4128AEE1" w16cid:durableId="683B0CF3"/>
  <w16cid:commentId w16cid:paraId="76F89FDD" w16cid:durableId="76F89FDD"/>
  <w16cid:commentId w16cid:paraId="76F89FDE" w16cid:durableId="76F89FDE"/>
  <w16cid:commentId w16cid:paraId="76F89FDF" w16cid:durableId="76F89F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C2E3AE4-619B-43FE-A535-BFEB4109A122}"/>
    <w:embedBold r:id="rId2" w:fontKey="{8C51935B-25B1-4939-89D3-9DF623595E7D}"/>
    <w:embedItalic r:id="rId3" w:fontKey="{4C9EE311-4134-46C4-8149-1B1D1F34E532}"/>
  </w:font>
  <w:font w:name="Calibri">
    <w:panose1 w:val="020F0502020204030204"/>
    <w:charset w:val="00"/>
    <w:family w:val="swiss"/>
    <w:pitch w:val="variable"/>
    <w:sig w:usb0="E4002EFF" w:usb1="C200247B" w:usb2="00000009" w:usb3="00000000" w:csb0="000001FF" w:csb1="00000000"/>
    <w:embedRegular r:id="rId4" w:fontKey="{9EBDE480-68BA-42C4-9D76-22EBA74B2999}"/>
    <w:embedBold r:id="rId5" w:fontKey="{1A4DB8D2-630C-48F6-953B-E08944EA12B1}"/>
    <w:embedItalic r:id="rId6" w:fontKey="{C116F4D0-F3C3-4BD2-B5DE-C2F5972FD9AE}"/>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A215A2BC-82FF-408C-810C-0F0D24FF1D7D}"/>
    <w:embedBold r:id="rId8" w:fontKey="{44759834-CD79-4DC2-9DD2-6158716E71AB}"/>
    <w:embedItalic r:id="rId9" w:fontKey="{0EAB4E3F-4E0D-4DB5-A649-05CA7D5E7D6C}"/>
    <w:embedBoldItalic r:id="rId10" w:fontKey="{6642628C-C6E5-454A-86DB-E15FFBBB410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2B"/>
    <w:multiLevelType w:val="multilevel"/>
    <w:tmpl w:val="CA7A58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70C03E6"/>
    <w:multiLevelType w:val="multilevel"/>
    <w:tmpl w:val="7960F5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FF4068"/>
    <w:multiLevelType w:val="multilevel"/>
    <w:tmpl w:val="BF0CE0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14F5F87"/>
    <w:multiLevelType w:val="multilevel"/>
    <w:tmpl w:val="3328EC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3DBE605C"/>
    <w:multiLevelType w:val="multilevel"/>
    <w:tmpl w:val="F24CE9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7098559">
    <w:abstractNumId w:val="2"/>
  </w:num>
  <w:num w:numId="2" w16cid:durableId="877088390">
    <w:abstractNumId w:val="3"/>
  </w:num>
  <w:num w:numId="3" w16cid:durableId="625042626">
    <w:abstractNumId w:val="0"/>
  </w:num>
  <w:num w:numId="4" w16cid:durableId="394817814">
    <w:abstractNumId w:val="1"/>
  </w:num>
  <w:num w:numId="5" w16cid:durableId="20925838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iya Deogaonkar">
    <w15:presenceInfo w15:providerId="Windows Live" w15:userId="9d8b236e46081e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466"/>
    <w:rsid w:val="0000362F"/>
    <w:rsid w:val="00026E75"/>
    <w:rsid w:val="000B2E7A"/>
    <w:rsid w:val="000F4469"/>
    <w:rsid w:val="000F6008"/>
    <w:rsid w:val="001735B7"/>
    <w:rsid w:val="001B1B73"/>
    <w:rsid w:val="001F44CF"/>
    <w:rsid w:val="00265493"/>
    <w:rsid w:val="002C200D"/>
    <w:rsid w:val="003575AF"/>
    <w:rsid w:val="003B1A3A"/>
    <w:rsid w:val="00443848"/>
    <w:rsid w:val="0047233F"/>
    <w:rsid w:val="005112F0"/>
    <w:rsid w:val="00535826"/>
    <w:rsid w:val="005560FE"/>
    <w:rsid w:val="005763AC"/>
    <w:rsid w:val="005B1E0D"/>
    <w:rsid w:val="005F4677"/>
    <w:rsid w:val="00694466"/>
    <w:rsid w:val="006D5135"/>
    <w:rsid w:val="00711FE1"/>
    <w:rsid w:val="00765824"/>
    <w:rsid w:val="007854EC"/>
    <w:rsid w:val="008A700E"/>
    <w:rsid w:val="008F2DE5"/>
    <w:rsid w:val="009A60AA"/>
    <w:rsid w:val="00AC3FC1"/>
    <w:rsid w:val="00B31085"/>
    <w:rsid w:val="00B649B6"/>
    <w:rsid w:val="00BA2BAB"/>
    <w:rsid w:val="00BD3F64"/>
    <w:rsid w:val="00BD65A6"/>
    <w:rsid w:val="00C15E1A"/>
    <w:rsid w:val="00C55222"/>
    <w:rsid w:val="00CF4591"/>
    <w:rsid w:val="00D07B18"/>
    <w:rsid w:val="00D17A40"/>
    <w:rsid w:val="00D3795D"/>
    <w:rsid w:val="00D86821"/>
    <w:rsid w:val="00D96618"/>
    <w:rsid w:val="00DA4947"/>
    <w:rsid w:val="00ED1029"/>
    <w:rsid w:val="00EE0564"/>
    <w:rsid w:val="00EE42D5"/>
    <w:rsid w:val="00F07FF7"/>
    <w:rsid w:val="00FB4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89DDF"/>
  <w15:docId w15:val="{6A4B3BD7-6C21-4824-ABC0-BD749E3A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basedOn w:val="TableNormal0"/>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F44CF"/>
    <w:rPr>
      <w:b/>
      <w:bCs/>
    </w:rPr>
  </w:style>
  <w:style w:type="character" w:customStyle="1" w:styleId="CommentSubjectChar">
    <w:name w:val="Comment Subject Char"/>
    <w:basedOn w:val="CommentTextChar"/>
    <w:link w:val="CommentSubject"/>
    <w:uiPriority w:val="99"/>
    <w:semiHidden/>
    <w:rsid w:val="001F44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20HZKY8c4s3y4x8l3CI9H5wZg==">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25</Pages>
  <Words>9008</Words>
  <Characters>51348</Characters>
  <Application>Microsoft Office Word</Application>
  <DocSecurity>0</DocSecurity>
  <Lines>427</Lines>
  <Paragraphs>120</Paragraphs>
  <ScaleCrop>false</ScaleCrop>
  <Company/>
  <LinksUpToDate>false</LinksUpToDate>
  <CharactersWithSpaces>60236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Saniya Deogaonkar</dc:creator>
  <cp:lastModifiedBy>Saniya Deogaonkar</cp:lastModifiedBy>
  <cp:revision>43</cp:revision>
  <dcterms:created xsi:type="dcterms:W3CDTF">2026-09-04T06:55:00Z</dcterms:created>
  <dcterms:modified xsi:type="dcterms:W3CDTF">2026-09-05T03:41:00Z</dcterms:modified>
</cp:coreProperties>
</file>