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800"/>
        </w:tabs>
        <w:spacing w:after="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Rutuja Patel</w:t>
      </w:r>
      <w:r>
        <w:rPr>
          <w:rFonts w:ascii="Calibri" w:cs="Calibri" w:eastAsia="Calibri" w:hAnsi="Calibri"/>
          <w:sz w:val="20"/>
          <w:szCs w:val="20"/>
        </w:rPr>
        <w:t xml:space="preserve">	rpate226@asu.edu</w:t>
      </w:r>
    </w:p>
    <w:p>
      <w:pPr>
        <w:tabs>
          <w:tab w:val="center" w:pos="5400"/>
          <w:tab w:val="right" w:pos="10800"/>
        </w:tabs>
        <w:spacing w:after="4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USA</w:t>
      </w:r>
      <w:r>
        <w:rPr>
          <w:rFonts w:ascii="Calibri" w:cs="Calibri" w:eastAsia="Calibri" w:hAnsi="Calibri"/>
          <w:sz w:val="20"/>
          <w:szCs w:val="20"/>
        </w:rPr>
        <w:t xml:space="preserve">	(602) 807-2821	analyzewithrutuja.github.io</w:t>
      </w:r>
    </w:p>
    <w:p>
      <w:pPr>
        <w:pBdr>
          <w:bottom w:val="single" w:color="1A1A1A" w:sz="6" w:space="2"/>
        </w:pBdr>
        <w:spacing w:after="60" w:before="16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Business Analytics graduate with hands-on experience in data engineering, data modeling, machine learning, and advanced analytics across healthcare, retail, manufacturing, and operations settings. Skilled in building ETL/ELT pipelines, data products, performance dashboards, and cloud-based analytical solutions (AWS) using Python, SQL, and industry-leading visualization tools to support data-driven decision-making. Experienced collaborating with cross-functional stakeholders and subject matter experts, including IT and business teams, to translate data into actionable insights that improve data quality, efficiency, and performance.</w:t>
      </w:r>
    </w:p>
    <w:p>
      <w:pPr>
        <w:pBdr>
          <w:bottom w:val="single" w:color="1A1A1A" w:sz="6" w:space="2"/>
        </w:pBdr>
        <w:spacing w:after="60" w:before="16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 P. Carey School of Business at Arizona State University	Aug 2024 – Dec 2025</w:t>
      </w:r>
    </w:p>
    <w:p>
      <w:pPr>
        <w:tabs>
          <w:tab w:val="right" w:pos="10800"/>
        </w:tabs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Master of Science in Business Analytics	Tempe, AZ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Relevant Coursework: AI and Data Analytics, Descriptive and Predictive Analytics, Analytics of Unstructured Data, Machine Learning in Business, Advanced Marketing Analytics, Enterprise Data Analytics, Operations Planning/Execution, Operations &amp; Supply Chain Management, Quantitative Risk Management, Strategic Procurement, Logistics in the Supply Chain, Business Process Analytics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Gujarat Technological University	July 2016 – July 2020</w:t>
      </w:r>
    </w:p>
    <w:p>
      <w:pPr>
        <w:tabs>
          <w:tab w:val="right" w:pos="10800"/>
        </w:tabs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Bachelor of Engineering in Electronics and Communication	Ahmedabad, GJ</w:t>
      </w:r>
    </w:p>
    <w:p>
      <w:pPr>
        <w:pBdr>
          <w:bottom w:val="single" w:color="1A1A1A" w:sz="6" w:space="2"/>
        </w:pBdr>
        <w:spacing w:after="60" w:before="16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Professional Experience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Applied Analyst (Capstone + Internship)	Aug 2025 – Present</w:t>
      </w:r>
    </w:p>
    <w:p>
      <w:pPr>
        <w:tabs>
          <w:tab w:val="right" w:pos="10800"/>
        </w:tabs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DST Investment Advisors	Scottsdale, AZ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data mining and web-scraping pipelines (Playwright, Python) to extract and structure attorney lead data from multiple government sources into clean, analysis-ready data products, applying data governance, quality-control, and standardization best practices.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Automated the end-to-end data-oriented programming workflow, significantly reducing manual research time and ensuring consistent, on-time data delivery for stakeholder reporting.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ERP Data Assistant	Jan 2024 – May 2024</w:t>
      </w:r>
    </w:p>
    <w:p>
      <w:pPr>
        <w:tabs>
          <w:tab w:val="right" w:pos="10800"/>
        </w:tabs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Hexaplast Industries (Electronics Manufacturing)	Ahmedabad, GJ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Compiled and structured data from multiple sources — office documents, sales contracts, spreadsheets, and real-time order data — supporting ERP implementation and organizational reporting standards at an electronics manufacturing facility.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Queried and managed structured data using SQL, alongside Python and Excel, in an ETL workflow to clean, transform, and consolidate multi-source data (documents, sales contracts, real-time order data) supporting ERP implementation and cross-departmental reporting.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Operations Trainee	May 2023 – Dec 2023</w:t>
      </w:r>
    </w:p>
    <w:p>
      <w:pPr>
        <w:tabs>
          <w:tab w:val="right" w:pos="10800"/>
        </w:tabs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Hexaplast Industries (Electronics Manufacturing)	Ahmedabad, GJ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Completed cross-departmental training across sales, inventory, machine building, and electronics to build end-to-end operational and manufacturing knowledge ahead of specializing in data analytics.</w:t>
      </w:r>
    </w:p>
    <w:p>
      <w:pPr>
        <w:pBdr>
          <w:bottom w:val="single" w:color="1A1A1A" w:sz="6" w:space="2"/>
        </w:pBdr>
        <w:spacing w:after="60" w:before="16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Project Experience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Hospital Readmission of Diabetic Patients — ASU Data Science Lab	Aug 2025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Applied machine learning and data modeling techniques to a 101,766-record diabetic patient dataset from 130 U.S. hospitals to predict 30-day readmission risk, building and evaluating Logistic Regression, Random Forest, and XGBoost models to help improve patient care capabilities (0.672 AUC-ROC).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Validated model robustness via 5-fold stratified cross-validation and supported responsible data governance by auditing 50 data fields and excluding race/gender from model inputs to mitigate bias.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Presented methodology and findings verbally to a cross-disciplinary audience of data scientists, healthcare professionals, students, and librarians; published full technical documentation on a public portfolio site for transparency and reproducibility.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Diabetes Readmission Risk Assistant (RAG Application)	Jan 2026 – Feb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Extended the readmission model into a proof-of-concept, live healthcare decision-support application, designing a retrieval-augmented generation (natural language processing) pipeline over 46 clinical guideline documents (ADA, WHO, CDC, Mayo Clinic) chunked into 2,456 embeddings to drive evidence-based decision-making.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Integrated a live XGBoost risk score with an LLM (Llama-3.1-8B) via Streamlit, an industry-leading visualization and app framework, to deliver personalized, citation-backed care recommendations — directly relevant to optimizing healthcare operations and performance.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Inventory Optimization Using Computer Vision	Mar 2025 – May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Partnered with ASU's Pitchforks dining hall to automate a 6–8 hour manual inventory count, fine-tuning a YOLOv8 object-detection model via transfer learning on a self-collected 428-image dataset (96.8% precision, 0.973 mAP@0.5).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Diagnosed a multi-object detection failure mode and resolved it using synthetic data augmentation, limiting the mAP@0.5 drop to just 0.011 — demonstrating applied research into innovative data analysis and modeling techniques.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Fast Fashion vs. Slow Fashion (Yelp Review Analysis)	Jan 2025 – Mar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Compared customer sentiment across retailers by cleaning and joining 5 raw Yelp datasets (~10M records) into a 65,729-review, 3,100-business dataset spanning 11 U.S. metros, staging and processing the data on AWS (S3) to manage its scale — a data mining and cloud-based data compilation effort from multiple sources.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Ran dual natural language processing sentiment pipelines (VADER + DistilBERT) and applied TF-IDF/LDA topic modeling across 6 complaint categories, building an analytical framework with key metrics to inform business strategy recommendations.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Reviewer Social Network Analysis	Feb 2026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Investigated whether Yelp's "Elite" reviewer status reflects genuine social influence by constructing a social graph of 46,236 reviewers and 135,151 friendships, applying graph-based data modeling techniques.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Found that Veteran Elite reviewers were ~44x more socially connected than single-review users, using machine learning-based k-means geospatial clustering across 11 U.S. metros to support data-driven insights.</w:t>
      </w:r>
    </w:p>
    <w:p>
      <w:pPr>
        <w:tabs>
          <w:tab w:val="right" w:pos="10800"/>
        </w:tabs>
        <w:spacing w:after="0" w:before="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Promotion Impact &amp; Causal Analysis	Sep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Applied Welch’s t-test, Mann-Whitney U, and a store-level paired test to 1M+ daily retail sales records (1,115 stores), confirming a statistically significant promotional sales lift (38.8%, p&lt;0.001).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a two-way fixed-effects difference-in-differences model (store and time controls, clustered standard errors) to isolate the causal promotional lift at 39.3% (95% CI: 38.5–40.0%), backed by a SQL star-schema warehouse.</w:t>
      </w:r>
    </w:p>
    <w:p>
      <w:pPr>
        <w:pBdr>
          <w:bottom w:val="single" w:color="1A1A1A" w:sz="6" w:space="2"/>
        </w:pBdr>
        <w:spacing w:after="60" w:before="16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Skills &amp; Activities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Data-Oriented Languages: </w:t>
      </w:r>
      <w:r>
        <w:rPr>
          <w:rFonts w:ascii="Calibri" w:cs="Calibri" w:eastAsia="Calibri" w:hAnsi="Calibri"/>
          <w:sz w:val="20"/>
          <w:szCs w:val="20"/>
        </w:rPr>
        <w:t xml:space="preserve">Python, SQL, HTML, CSS, JavaScript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Data Engineering: </w:t>
      </w:r>
      <w:r>
        <w:rPr>
          <w:rFonts w:ascii="Calibri" w:cs="Calibri" w:eastAsia="Calibri" w:hAnsi="Calibri"/>
          <w:sz w:val="20"/>
          <w:szCs w:val="20"/>
        </w:rPr>
        <w:t xml:space="preserve">AWS (S3), ETL/ELT Pipelines, Data Pipelines, Data Modeling, Data Governance &amp; Quality Standardization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Analytics &amp; Visualization Software: </w:t>
      </w:r>
      <w:r>
        <w:rPr>
          <w:rFonts w:ascii="Calibri" w:cs="Calibri" w:eastAsia="Calibri" w:hAnsi="Calibri"/>
          <w:sz w:val="20"/>
          <w:szCs w:val="20"/>
        </w:rPr>
        <w:t xml:space="preserve">Excel, Power BI, Tableau, Performance Dashboards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 &amp; Statistics: </w:t>
      </w:r>
      <w:r>
        <w:rPr>
          <w:rFonts w:ascii="Calibri" w:cs="Calibri" w:eastAsia="Calibri" w:hAnsi="Calibri"/>
          <w:sz w:val="20"/>
          <w:szCs w:val="20"/>
        </w:rPr>
        <w:t xml:space="preserve">Statistical Analysis, Hypothesis Testing, Causal Inference (Difference-in-Differences), Fixed-Effects Regression, scikit-learn, XGBoost, Random Forest, Logistic Regression, Data Modeling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&amp; Generative AI: </w:t>
      </w:r>
      <w:r>
        <w:rPr>
          <w:rFonts w:ascii="Calibri" w:cs="Calibri" w:eastAsia="Calibri" w:hAnsi="Calibri"/>
          <w:sz w:val="20"/>
          <w:szCs w:val="20"/>
        </w:rPr>
        <w:t xml:space="preserve">Retrieval-Augmented Generation (RAG), LLMs (Llama-3.1-8B), Sentence-Transformers, ChromaDB, Streamlit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Deep Learning &amp; Computer Vision: </w:t>
      </w:r>
      <w:r>
        <w:rPr>
          <w:rFonts w:ascii="Calibri" w:cs="Calibri" w:eastAsia="Calibri" w:hAnsi="Calibri"/>
          <w:sz w:val="20"/>
          <w:szCs w:val="20"/>
        </w:rPr>
        <w:t xml:space="preserve">YOLOv8, OpenCV, FastSAM, DistilBERT, Transfer Learning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NLP, Data Mining &amp; Automation: </w:t>
      </w:r>
      <w:r>
        <w:rPr>
          <w:rFonts w:ascii="Calibri" w:cs="Calibri" w:eastAsia="Calibri" w:hAnsi="Calibri"/>
          <w:sz w:val="20"/>
          <w:szCs w:val="20"/>
        </w:rPr>
        <w:t xml:space="preserve">Sentiment Analysis (VADER), Topic Modeling (TF-IDF/LDA), NetworkX (Graph Analysis), Geospatial Clustering, Playwright (Web Automation), Data Governance &amp; Quality Best Practices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2026-09-02T00:28:18.259Z</dcterms:created>
  <dcterms:modified xsi:type="dcterms:W3CDTF">2026-09-02T00:28:18.259Z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