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434343"/>
          <w:highlight w:val="white"/>
        </w:rPr>
      </w:pPr>
      <w:r w:rsidDel="00000000" w:rsidR="00000000" w:rsidRPr="00000000">
        <w:rPr>
          <w:color w:val="434343"/>
          <w:highlight w:val="white"/>
          <w:rtl w:val="0"/>
        </w:rPr>
        <w:t xml:space="preserve">Q1- </w:t>
      </w:r>
      <w:hyperlink r:id="rId6">
        <w:r w:rsidDel="00000000" w:rsidR="00000000" w:rsidRPr="00000000">
          <w:rPr>
            <w:color w:val="434343"/>
            <w:highlight w:val="white"/>
            <w:rtl w:val="0"/>
          </w:rPr>
          <w:t xml:space="preserve">https://www.ultimateqa.com/simple-html-elements-for-automation/</w:t>
        </w:r>
      </w:hyperlink>
      <w:r w:rsidDel="00000000" w:rsidR="00000000" w:rsidRPr="00000000">
        <w:rPr>
          <w:rtl w:val="0"/>
        </w:rPr>
      </w:r>
    </w:p>
    <w:p w:rsidR="00000000" w:rsidDel="00000000" w:rsidP="00000000" w:rsidRDefault="00000000" w:rsidRPr="00000000" w14:paraId="00000002">
      <w:pPr>
        <w:rPr>
          <w:color w:val="434343"/>
          <w:highlight w:val="white"/>
        </w:rPr>
      </w:pPr>
      <w:r w:rsidDel="00000000" w:rsidR="00000000" w:rsidRPr="00000000">
        <w:rPr>
          <w:color w:val="434343"/>
          <w:highlight w:val="white"/>
          <w:rtl w:val="0"/>
        </w:rPr>
        <w:t xml:space="preserve">Fetch Quality Assurance Engineer Salary from the table under HTML Table with no id.</w:t>
      </w:r>
    </w:p>
    <w:p w:rsidR="00000000" w:rsidDel="00000000" w:rsidP="00000000" w:rsidRDefault="00000000" w:rsidRPr="00000000" w14:paraId="00000003">
      <w:pPr>
        <w:rPr>
          <w:color w:val="434343"/>
          <w:highlight w:val="white"/>
        </w:rPr>
      </w:pPr>
      <w:r w:rsidDel="00000000" w:rsidR="00000000" w:rsidRPr="00000000">
        <w:rPr>
          <w:color w:val="434343"/>
          <w:highlight w:val="white"/>
          <w:rtl w:val="0"/>
        </w:rPr>
        <w:t xml:space="preserve">The code should be dynamic.</w:t>
      </w:r>
    </w:p>
    <w:p w:rsidR="00000000" w:rsidDel="00000000" w:rsidP="00000000" w:rsidRDefault="00000000" w:rsidRPr="00000000" w14:paraId="00000004">
      <w:pPr>
        <w:rPr>
          <w:color w:val="434343"/>
        </w:rPr>
      </w:pPr>
      <w:r w:rsidDel="00000000" w:rsidR="00000000" w:rsidRPr="00000000">
        <w:rPr>
          <w:rtl w:val="0"/>
        </w:rPr>
      </w:r>
    </w:p>
    <w:p w:rsidR="00000000" w:rsidDel="00000000" w:rsidP="00000000" w:rsidRDefault="00000000" w:rsidRPr="00000000" w14:paraId="00000005">
      <w:pPr>
        <w:rPr>
          <w:color w:val="434343"/>
        </w:rPr>
      </w:pPr>
      <w:r w:rsidDel="00000000" w:rsidR="00000000" w:rsidRPr="00000000">
        <w:rPr>
          <w:color w:val="434343"/>
        </w:rPr>
        <w:drawing>
          <wp:inline distB="114300" distT="114300" distL="114300" distR="114300">
            <wp:extent cx="5943600" cy="3999737"/>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99973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color w:val="434343"/>
        </w:rPr>
      </w:pPr>
      <w:r w:rsidDel="00000000" w:rsidR="00000000" w:rsidRPr="00000000">
        <w:rPr>
          <w:rtl w:val="0"/>
        </w:rPr>
      </w:r>
    </w:p>
    <w:p w:rsidR="00000000" w:rsidDel="00000000" w:rsidP="00000000" w:rsidRDefault="00000000" w:rsidRPr="00000000" w14:paraId="00000007">
      <w:pPr>
        <w:rPr>
          <w:color w:val="434343"/>
        </w:rPr>
      </w:pPr>
      <w:r w:rsidDel="00000000" w:rsidR="00000000" w:rsidRPr="00000000">
        <w:rPr>
          <w:rtl w:val="0"/>
        </w:rPr>
      </w:r>
    </w:p>
    <w:p w:rsidR="00000000" w:rsidDel="00000000" w:rsidP="00000000" w:rsidRDefault="00000000" w:rsidRPr="00000000" w14:paraId="00000008">
      <w:pPr>
        <w:rPr>
          <w:color w:val="434343"/>
        </w:rPr>
      </w:pPr>
      <w:r w:rsidDel="00000000" w:rsidR="00000000" w:rsidRPr="00000000">
        <w:rPr>
          <w:rtl w:val="0"/>
        </w:rPr>
      </w:r>
    </w:p>
    <w:p w:rsidR="00000000" w:rsidDel="00000000" w:rsidP="00000000" w:rsidRDefault="00000000" w:rsidRPr="00000000" w14:paraId="00000009">
      <w:pPr>
        <w:rPr>
          <w:color w:val="434343"/>
        </w:rPr>
      </w:pPr>
      <w:r w:rsidDel="00000000" w:rsidR="00000000" w:rsidRPr="00000000">
        <w:rPr>
          <w:rtl w:val="0"/>
        </w:rPr>
      </w:r>
    </w:p>
    <w:p w:rsidR="00000000" w:rsidDel="00000000" w:rsidP="00000000" w:rsidRDefault="00000000" w:rsidRPr="00000000" w14:paraId="0000000A">
      <w:pPr>
        <w:rPr>
          <w:color w:val="434343"/>
        </w:rPr>
      </w:pPr>
      <w:r w:rsidDel="00000000" w:rsidR="00000000" w:rsidRPr="00000000">
        <w:rPr>
          <w:rtl w:val="0"/>
        </w:rPr>
      </w:r>
    </w:p>
    <w:p w:rsidR="00000000" w:rsidDel="00000000" w:rsidP="00000000" w:rsidRDefault="00000000" w:rsidRPr="00000000" w14:paraId="0000000B">
      <w:pPr>
        <w:rPr>
          <w:color w:val="434343"/>
        </w:rPr>
      </w:pPr>
      <w:r w:rsidDel="00000000" w:rsidR="00000000" w:rsidRPr="00000000">
        <w:rPr>
          <w:rtl w:val="0"/>
        </w:rPr>
      </w:r>
    </w:p>
    <w:p w:rsidR="00000000" w:rsidDel="00000000" w:rsidP="00000000" w:rsidRDefault="00000000" w:rsidRPr="00000000" w14:paraId="0000000C">
      <w:pPr>
        <w:rPr>
          <w:color w:val="434343"/>
        </w:rPr>
      </w:pPr>
      <w:r w:rsidDel="00000000" w:rsidR="00000000" w:rsidRPr="00000000">
        <w:rPr>
          <w:rtl w:val="0"/>
        </w:rPr>
      </w:r>
    </w:p>
    <w:p w:rsidR="00000000" w:rsidDel="00000000" w:rsidP="00000000" w:rsidRDefault="00000000" w:rsidRPr="00000000" w14:paraId="0000000D">
      <w:pPr>
        <w:rPr>
          <w:color w:val="434343"/>
        </w:rPr>
      </w:pPr>
      <w:r w:rsidDel="00000000" w:rsidR="00000000" w:rsidRPr="00000000">
        <w:rPr>
          <w:rtl w:val="0"/>
        </w:rPr>
      </w:r>
    </w:p>
    <w:p w:rsidR="00000000" w:rsidDel="00000000" w:rsidP="00000000" w:rsidRDefault="00000000" w:rsidRPr="00000000" w14:paraId="0000000E">
      <w:pPr>
        <w:rPr>
          <w:color w:val="434343"/>
        </w:rPr>
      </w:pPr>
      <w:r w:rsidDel="00000000" w:rsidR="00000000" w:rsidRPr="00000000">
        <w:rPr>
          <w:rtl w:val="0"/>
        </w:rPr>
      </w:r>
    </w:p>
    <w:p w:rsidR="00000000" w:rsidDel="00000000" w:rsidP="00000000" w:rsidRDefault="00000000" w:rsidRPr="00000000" w14:paraId="0000000F">
      <w:pPr>
        <w:rPr>
          <w:color w:val="434343"/>
        </w:rPr>
      </w:pPr>
      <w:r w:rsidDel="00000000" w:rsidR="00000000" w:rsidRPr="00000000">
        <w:rPr>
          <w:rtl w:val="0"/>
        </w:rPr>
      </w:r>
    </w:p>
    <w:p w:rsidR="00000000" w:rsidDel="00000000" w:rsidP="00000000" w:rsidRDefault="00000000" w:rsidRPr="00000000" w14:paraId="00000010">
      <w:pPr>
        <w:rPr>
          <w:color w:val="434343"/>
        </w:rPr>
      </w:pPr>
      <w:r w:rsidDel="00000000" w:rsidR="00000000" w:rsidRPr="00000000">
        <w:rPr>
          <w:rtl w:val="0"/>
        </w:rPr>
      </w:r>
    </w:p>
    <w:p w:rsidR="00000000" w:rsidDel="00000000" w:rsidP="00000000" w:rsidRDefault="00000000" w:rsidRPr="00000000" w14:paraId="00000011">
      <w:pPr>
        <w:rPr>
          <w:color w:val="434343"/>
        </w:rPr>
      </w:pPr>
      <w:r w:rsidDel="00000000" w:rsidR="00000000" w:rsidRPr="00000000">
        <w:rPr>
          <w:rtl w:val="0"/>
        </w:rPr>
      </w:r>
    </w:p>
    <w:p w:rsidR="00000000" w:rsidDel="00000000" w:rsidP="00000000" w:rsidRDefault="00000000" w:rsidRPr="00000000" w14:paraId="00000012">
      <w:pPr>
        <w:rPr>
          <w:color w:val="434343"/>
        </w:rPr>
      </w:pPr>
      <w:r w:rsidDel="00000000" w:rsidR="00000000" w:rsidRPr="00000000">
        <w:rPr>
          <w:rtl w:val="0"/>
        </w:rPr>
      </w:r>
    </w:p>
    <w:p w:rsidR="00000000" w:rsidDel="00000000" w:rsidP="00000000" w:rsidRDefault="00000000" w:rsidRPr="00000000" w14:paraId="00000013">
      <w:pPr>
        <w:rPr>
          <w:color w:val="434343"/>
        </w:rPr>
      </w:pPr>
      <w:r w:rsidDel="00000000" w:rsidR="00000000" w:rsidRPr="00000000">
        <w:rPr>
          <w:rtl w:val="0"/>
        </w:rPr>
      </w:r>
    </w:p>
    <w:p w:rsidR="00000000" w:rsidDel="00000000" w:rsidP="00000000" w:rsidRDefault="00000000" w:rsidRPr="00000000" w14:paraId="00000014">
      <w:pPr>
        <w:rPr>
          <w:color w:val="434343"/>
        </w:rPr>
      </w:pPr>
      <w:r w:rsidDel="00000000" w:rsidR="00000000" w:rsidRPr="00000000">
        <w:rPr>
          <w:rtl w:val="0"/>
        </w:rPr>
      </w:r>
    </w:p>
    <w:p w:rsidR="00000000" w:rsidDel="00000000" w:rsidP="00000000" w:rsidRDefault="00000000" w:rsidRPr="00000000" w14:paraId="00000015">
      <w:pPr>
        <w:rPr>
          <w:color w:val="434343"/>
        </w:rPr>
      </w:pPr>
      <w:r w:rsidDel="00000000" w:rsidR="00000000" w:rsidRPr="00000000">
        <w:rPr>
          <w:rtl w:val="0"/>
        </w:rPr>
      </w:r>
    </w:p>
    <w:p w:rsidR="00000000" w:rsidDel="00000000" w:rsidP="00000000" w:rsidRDefault="00000000" w:rsidRPr="00000000" w14:paraId="00000016">
      <w:pPr>
        <w:rPr>
          <w:color w:val="434343"/>
        </w:rPr>
      </w:pPr>
      <w:r w:rsidDel="00000000" w:rsidR="00000000" w:rsidRPr="00000000">
        <w:rPr>
          <w:rtl w:val="0"/>
        </w:rPr>
      </w:r>
    </w:p>
    <w:p w:rsidR="00000000" w:rsidDel="00000000" w:rsidP="00000000" w:rsidRDefault="00000000" w:rsidRPr="00000000" w14:paraId="00000017">
      <w:pPr>
        <w:rPr>
          <w:color w:val="434343"/>
        </w:rPr>
      </w:pPr>
      <w:r w:rsidDel="00000000" w:rsidR="00000000" w:rsidRPr="00000000">
        <w:rPr>
          <w:rtl w:val="0"/>
        </w:rPr>
      </w:r>
    </w:p>
    <w:p w:rsidR="00000000" w:rsidDel="00000000" w:rsidP="00000000" w:rsidRDefault="00000000" w:rsidRPr="00000000" w14:paraId="00000018">
      <w:pPr>
        <w:rPr>
          <w:color w:val="434343"/>
        </w:rPr>
      </w:pPr>
      <w:r w:rsidDel="00000000" w:rsidR="00000000" w:rsidRPr="00000000">
        <w:rPr>
          <w:rtl w:val="0"/>
        </w:rPr>
      </w:r>
    </w:p>
    <w:p w:rsidR="00000000" w:rsidDel="00000000" w:rsidP="00000000" w:rsidRDefault="00000000" w:rsidRPr="00000000" w14:paraId="00000019">
      <w:pPr>
        <w:rPr>
          <w:color w:val="434343"/>
        </w:rPr>
      </w:pPr>
      <w:r w:rsidDel="00000000" w:rsidR="00000000" w:rsidRPr="00000000">
        <w:rPr>
          <w:rtl w:val="0"/>
        </w:rPr>
      </w:r>
    </w:p>
    <w:p w:rsidR="00000000" w:rsidDel="00000000" w:rsidP="00000000" w:rsidRDefault="00000000" w:rsidRPr="00000000" w14:paraId="0000001A">
      <w:pPr>
        <w:rPr>
          <w:color w:val="434343"/>
        </w:rPr>
      </w:pPr>
      <w:r w:rsidDel="00000000" w:rsidR="00000000" w:rsidRPr="00000000">
        <w:rPr>
          <w:rtl w:val="0"/>
        </w:rPr>
      </w:r>
    </w:p>
    <w:p w:rsidR="00000000" w:rsidDel="00000000" w:rsidP="00000000" w:rsidRDefault="00000000" w:rsidRPr="00000000" w14:paraId="0000001B">
      <w:pPr>
        <w:rPr>
          <w:color w:val="434343"/>
        </w:rPr>
      </w:pPr>
      <w:r w:rsidDel="00000000" w:rsidR="00000000" w:rsidRPr="00000000">
        <w:rPr>
          <w:rtl w:val="0"/>
        </w:rPr>
      </w:r>
    </w:p>
    <w:p w:rsidR="00000000" w:rsidDel="00000000" w:rsidP="00000000" w:rsidRDefault="00000000" w:rsidRPr="00000000" w14:paraId="0000001C">
      <w:pPr>
        <w:rPr>
          <w:color w:val="434343"/>
          <w:highlight w:val="white"/>
        </w:rPr>
      </w:pPr>
      <w:r w:rsidDel="00000000" w:rsidR="00000000" w:rsidRPr="00000000">
        <w:rPr>
          <w:color w:val="434343"/>
          <w:highlight w:val="white"/>
          <w:rtl w:val="0"/>
        </w:rPr>
        <w:t xml:space="preserve">Q2- Write an automation script for filling all fields of the registration page. (Registration.html)</w:t>
      </w:r>
    </w:p>
    <w:p w:rsidR="00000000" w:rsidDel="00000000" w:rsidP="00000000" w:rsidRDefault="00000000" w:rsidRPr="00000000" w14:paraId="0000001D">
      <w:pPr>
        <w:rPr>
          <w:color w:val="434343"/>
          <w:highlight w:val="white"/>
        </w:rPr>
      </w:pPr>
      <w:r w:rsidDel="00000000" w:rsidR="00000000" w:rsidRPr="00000000">
        <w:rPr>
          <w:color w:val="434343"/>
          <w:highlight w:val="white"/>
          <w:rtl w:val="0"/>
        </w:rPr>
        <w:t xml:space="preserve">But make sure that test data should be provided from a properties file.</w:t>
      </w:r>
    </w:p>
    <w:p w:rsidR="00000000" w:rsidDel="00000000" w:rsidP="00000000" w:rsidRDefault="00000000" w:rsidRPr="00000000" w14:paraId="0000001E">
      <w:pPr>
        <w:rPr>
          <w:color w:val="434343"/>
          <w:highlight w:val="white"/>
        </w:rPr>
      </w:pPr>
      <w:r w:rsidDel="00000000" w:rsidR="00000000" w:rsidRPr="00000000">
        <w:rPr>
          <w:rtl w:val="0"/>
        </w:rPr>
      </w:r>
    </w:p>
    <w:p w:rsidR="00000000" w:rsidDel="00000000" w:rsidP="00000000" w:rsidRDefault="00000000" w:rsidRPr="00000000" w14:paraId="0000001F">
      <w:pPr>
        <w:rPr>
          <w:color w:val="434343"/>
          <w:highlight w:val="white"/>
        </w:rPr>
      </w:pPr>
      <w:r w:rsidDel="00000000" w:rsidR="00000000" w:rsidRPr="00000000">
        <w:rPr>
          <w:color w:val="434343"/>
          <w:highlight w:val="white"/>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color w:val="434343"/>
          <w:highlight w:val="white"/>
        </w:rPr>
      </w:pPr>
      <w:r w:rsidDel="00000000" w:rsidR="00000000" w:rsidRPr="00000000">
        <w:rPr>
          <w:color w:val="434343"/>
          <w:highlight w:val="white"/>
        </w:rPr>
        <w:drawing>
          <wp:inline distB="114300" distT="114300" distL="114300" distR="114300">
            <wp:extent cx="5943600" cy="33401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434343"/>
          <w:highlight w:val="white"/>
        </w:rPr>
      </w:pPr>
      <w:r w:rsidDel="00000000" w:rsidR="00000000" w:rsidRPr="00000000">
        <w:rPr>
          <w:color w:val="434343"/>
          <w:highlight w:val="white"/>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434343"/>
          <w:highlight w:val="white"/>
        </w:rPr>
      </w:pPr>
      <w:r w:rsidDel="00000000" w:rsidR="00000000" w:rsidRPr="00000000">
        <w:rPr>
          <w:rtl w:val="0"/>
        </w:rPr>
      </w:r>
    </w:p>
    <w:p w:rsidR="00000000" w:rsidDel="00000000" w:rsidP="00000000" w:rsidRDefault="00000000" w:rsidRPr="00000000" w14:paraId="00000023">
      <w:pPr>
        <w:rPr>
          <w:color w:val="434343"/>
          <w:highlight w:val="white"/>
        </w:rPr>
      </w:pPr>
      <w:r w:rsidDel="00000000" w:rsidR="00000000" w:rsidRPr="00000000">
        <w:rPr>
          <w:rtl w:val="0"/>
        </w:rPr>
      </w:r>
    </w:p>
    <w:p w:rsidR="00000000" w:rsidDel="00000000" w:rsidP="00000000" w:rsidRDefault="00000000" w:rsidRPr="00000000" w14:paraId="00000024">
      <w:pPr>
        <w:rPr>
          <w:color w:val="434343"/>
          <w:highlight w:val="white"/>
        </w:rPr>
      </w:pPr>
      <w:r w:rsidDel="00000000" w:rsidR="00000000" w:rsidRPr="00000000">
        <w:rPr>
          <w:rtl w:val="0"/>
        </w:rPr>
      </w:r>
    </w:p>
    <w:p w:rsidR="00000000" w:rsidDel="00000000" w:rsidP="00000000" w:rsidRDefault="00000000" w:rsidRPr="00000000" w14:paraId="00000025">
      <w:pPr>
        <w:rPr>
          <w:color w:val="434343"/>
        </w:rPr>
      </w:pPr>
      <w:r w:rsidDel="00000000" w:rsidR="00000000" w:rsidRPr="00000000">
        <w:rPr>
          <w:rtl w:val="0"/>
        </w:rPr>
      </w:r>
    </w:p>
    <w:p w:rsidR="00000000" w:rsidDel="00000000" w:rsidP="00000000" w:rsidRDefault="00000000" w:rsidRPr="00000000" w14:paraId="00000026">
      <w:pPr>
        <w:rPr>
          <w:color w:val="434343"/>
          <w:highlight w:val="white"/>
        </w:rPr>
      </w:pPr>
      <w:r w:rsidDel="00000000" w:rsidR="00000000" w:rsidRPr="00000000">
        <w:rPr>
          <w:color w:val="434343"/>
          <w:highlight w:val="white"/>
          <w:rtl w:val="0"/>
        </w:rPr>
        <w:t xml:space="preserve">Q3- What are the advantages of TestNG &amp; TestNG annotations?</w:t>
      </w:r>
    </w:p>
    <w:p w:rsidR="00000000" w:rsidDel="00000000" w:rsidP="00000000" w:rsidRDefault="00000000" w:rsidRPr="00000000" w14:paraId="00000027">
      <w:pPr>
        <w:rPr>
          <w:color w:val="434343"/>
          <w:highlight w:val="white"/>
        </w:rPr>
      </w:pPr>
      <w:r w:rsidDel="00000000" w:rsidR="00000000" w:rsidRPr="00000000">
        <w:rPr>
          <w:color w:val="434343"/>
          <w:highlight w:val="white"/>
          <w:rtl w:val="0"/>
        </w:rPr>
        <w:t xml:space="preserve">Ans:      </w:t>
      </w:r>
      <w:r w:rsidDel="00000000" w:rsidR="00000000" w:rsidRPr="00000000">
        <w:rPr>
          <w:color w:val="434343"/>
          <w:highlight w:val="white"/>
          <w:rtl w:val="0"/>
        </w:rPr>
        <w:t xml:space="preserve">The main advantage of testNG can be listed as follows:</w:t>
      </w:r>
    </w:p>
    <w:p w:rsidR="00000000" w:rsidDel="00000000" w:rsidP="00000000" w:rsidRDefault="00000000" w:rsidRPr="00000000" w14:paraId="00000028">
      <w:pPr>
        <w:rPr>
          <w:color w:val="434343"/>
          <w:highlight w:val="white"/>
        </w:rPr>
      </w:pPr>
      <w:r w:rsidDel="00000000" w:rsidR="00000000" w:rsidRPr="00000000">
        <w:rPr>
          <w:rtl w:val="0"/>
        </w:rPr>
      </w:r>
    </w:p>
    <w:p w:rsidR="00000000" w:rsidDel="00000000" w:rsidP="00000000" w:rsidRDefault="00000000" w:rsidRPr="00000000" w14:paraId="00000029">
      <w:pPr>
        <w:numPr>
          <w:ilvl w:val="0"/>
          <w:numId w:val="1"/>
        </w:numPr>
        <w:spacing w:after="0" w:afterAutospacing="0" w:lineRule="auto"/>
        <w:ind w:left="720" w:hanging="360"/>
        <w:rPr>
          <w:color w:val="434343"/>
          <w:highlight w:val="white"/>
        </w:rPr>
      </w:pPr>
      <w:r w:rsidDel="00000000" w:rsidR="00000000" w:rsidRPr="00000000">
        <w:rPr>
          <w:color w:val="434343"/>
          <w:highlight w:val="white"/>
          <w:rtl w:val="0"/>
        </w:rPr>
        <w:t xml:space="preserve">TestNG provides parallel execution of the test method.</w:t>
      </w:r>
    </w:p>
    <w:p w:rsidR="00000000" w:rsidDel="00000000" w:rsidP="00000000" w:rsidRDefault="00000000" w:rsidRPr="00000000" w14:paraId="0000002A">
      <w:pPr>
        <w:numPr>
          <w:ilvl w:val="0"/>
          <w:numId w:val="1"/>
        </w:numPr>
        <w:spacing w:after="0" w:afterAutospacing="0" w:lineRule="auto"/>
        <w:ind w:left="720" w:hanging="360"/>
        <w:rPr>
          <w:color w:val="434343"/>
          <w:highlight w:val="white"/>
        </w:rPr>
      </w:pPr>
      <w:r w:rsidDel="00000000" w:rsidR="00000000" w:rsidRPr="00000000">
        <w:rPr>
          <w:color w:val="434343"/>
          <w:highlight w:val="white"/>
          <w:rtl w:val="0"/>
        </w:rPr>
        <w:t xml:space="preserve">It allows to define dependency of one test method over other method</w:t>
      </w:r>
    </w:p>
    <w:p w:rsidR="00000000" w:rsidDel="00000000" w:rsidP="00000000" w:rsidRDefault="00000000" w:rsidRPr="00000000" w14:paraId="0000002B">
      <w:pPr>
        <w:numPr>
          <w:ilvl w:val="0"/>
          <w:numId w:val="1"/>
        </w:numPr>
        <w:spacing w:after="0" w:afterAutospacing="0" w:lineRule="auto"/>
        <w:ind w:left="720" w:hanging="360"/>
        <w:rPr>
          <w:color w:val="434343"/>
          <w:highlight w:val="white"/>
        </w:rPr>
      </w:pPr>
      <w:r w:rsidDel="00000000" w:rsidR="00000000" w:rsidRPr="00000000">
        <w:rPr>
          <w:color w:val="434343"/>
          <w:highlight w:val="white"/>
          <w:rtl w:val="0"/>
        </w:rPr>
        <w:t xml:space="preserve">It allows to assign priority to test methods</w:t>
      </w:r>
    </w:p>
    <w:p w:rsidR="00000000" w:rsidDel="00000000" w:rsidP="00000000" w:rsidRDefault="00000000" w:rsidRPr="00000000" w14:paraId="0000002C">
      <w:pPr>
        <w:numPr>
          <w:ilvl w:val="0"/>
          <w:numId w:val="1"/>
        </w:numPr>
        <w:spacing w:after="0" w:afterAutospacing="0" w:lineRule="auto"/>
        <w:ind w:left="720" w:hanging="360"/>
        <w:rPr>
          <w:color w:val="434343"/>
          <w:highlight w:val="white"/>
        </w:rPr>
      </w:pPr>
      <w:r w:rsidDel="00000000" w:rsidR="00000000" w:rsidRPr="00000000">
        <w:rPr>
          <w:color w:val="434343"/>
          <w:highlight w:val="white"/>
          <w:rtl w:val="0"/>
        </w:rPr>
        <w:t xml:space="preserve">It allows grouping of test methods into test groups</w:t>
      </w:r>
    </w:p>
    <w:p w:rsidR="00000000" w:rsidDel="00000000" w:rsidP="00000000" w:rsidRDefault="00000000" w:rsidRPr="00000000" w14:paraId="0000002D">
      <w:pPr>
        <w:numPr>
          <w:ilvl w:val="0"/>
          <w:numId w:val="1"/>
        </w:numPr>
        <w:spacing w:after="0" w:afterAutospacing="0" w:lineRule="auto"/>
        <w:ind w:left="720" w:hanging="360"/>
        <w:rPr>
          <w:color w:val="434343"/>
          <w:highlight w:val="white"/>
        </w:rPr>
      </w:pPr>
      <w:r w:rsidDel="00000000" w:rsidR="00000000" w:rsidRPr="00000000">
        <w:rPr>
          <w:color w:val="434343"/>
          <w:highlight w:val="white"/>
          <w:rtl w:val="0"/>
        </w:rPr>
        <w:t xml:space="preserve">It has support for parameterizing test cases using @Parameters annotation</w:t>
      </w:r>
    </w:p>
    <w:p w:rsidR="00000000" w:rsidDel="00000000" w:rsidP="00000000" w:rsidRDefault="00000000" w:rsidRPr="00000000" w14:paraId="0000002E">
      <w:pPr>
        <w:numPr>
          <w:ilvl w:val="0"/>
          <w:numId w:val="1"/>
        </w:numPr>
        <w:spacing w:after="0" w:afterAutospacing="0" w:lineRule="auto"/>
        <w:ind w:left="720" w:hanging="360"/>
        <w:rPr>
          <w:color w:val="434343"/>
          <w:highlight w:val="white"/>
        </w:rPr>
      </w:pPr>
      <w:r w:rsidDel="00000000" w:rsidR="00000000" w:rsidRPr="00000000">
        <w:rPr>
          <w:color w:val="434343"/>
          <w:highlight w:val="white"/>
          <w:rtl w:val="0"/>
        </w:rPr>
        <w:t xml:space="preserve">It allows data driven testing using @DataProvider annotation</w:t>
      </w:r>
    </w:p>
    <w:p w:rsidR="00000000" w:rsidDel="00000000" w:rsidP="00000000" w:rsidRDefault="00000000" w:rsidRPr="00000000" w14:paraId="0000002F">
      <w:pPr>
        <w:numPr>
          <w:ilvl w:val="0"/>
          <w:numId w:val="1"/>
        </w:numPr>
        <w:spacing w:after="0" w:afterAutospacing="0" w:lineRule="auto"/>
        <w:ind w:left="720" w:hanging="360"/>
        <w:rPr>
          <w:color w:val="434343"/>
          <w:highlight w:val="white"/>
        </w:rPr>
      </w:pPr>
      <w:r w:rsidDel="00000000" w:rsidR="00000000" w:rsidRPr="00000000">
        <w:rPr>
          <w:color w:val="434343"/>
          <w:highlight w:val="white"/>
          <w:rtl w:val="0"/>
        </w:rPr>
        <w:t xml:space="preserve">It has different assertions that helps in checking the expected and actual results</w:t>
      </w:r>
    </w:p>
    <w:p w:rsidR="00000000" w:rsidDel="00000000" w:rsidP="00000000" w:rsidRDefault="00000000" w:rsidRPr="00000000" w14:paraId="00000030">
      <w:pPr>
        <w:numPr>
          <w:ilvl w:val="0"/>
          <w:numId w:val="1"/>
        </w:numPr>
        <w:spacing w:after="400" w:lineRule="auto"/>
        <w:ind w:left="720" w:hanging="360"/>
        <w:rPr>
          <w:color w:val="434343"/>
          <w:highlight w:val="white"/>
        </w:rPr>
      </w:pPr>
      <w:r w:rsidDel="00000000" w:rsidR="00000000" w:rsidRPr="00000000">
        <w:rPr>
          <w:color w:val="434343"/>
          <w:highlight w:val="white"/>
          <w:rtl w:val="0"/>
        </w:rPr>
        <w:t xml:space="preserve">Detailed (HTML) reports</w:t>
      </w:r>
    </w:p>
    <w:p w:rsidR="00000000" w:rsidDel="00000000" w:rsidP="00000000" w:rsidRDefault="00000000" w:rsidRPr="00000000" w14:paraId="00000031">
      <w:pPr>
        <w:spacing w:after="400" w:lineRule="auto"/>
        <w:rPr>
          <w:highlight w:val="white"/>
        </w:rPr>
      </w:pPr>
      <w:r w:rsidDel="00000000" w:rsidR="00000000" w:rsidRPr="00000000">
        <w:rPr>
          <w:color w:val="434343"/>
          <w:highlight w:val="white"/>
          <w:rtl w:val="0"/>
        </w:rPr>
        <w:t xml:space="preserve">              Test</w:t>
      </w:r>
      <w:r w:rsidDel="00000000" w:rsidR="00000000" w:rsidRPr="00000000">
        <w:rPr>
          <w:highlight w:val="white"/>
          <w:rtl w:val="0"/>
        </w:rPr>
        <w:t xml:space="preserve">aNG Annotations:</w:t>
      </w:r>
    </w:p>
    <w:p w:rsidR="00000000" w:rsidDel="00000000" w:rsidP="00000000" w:rsidRDefault="00000000" w:rsidRPr="00000000" w14:paraId="00000032">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@BeforeSuite:</w:t>
      </w:r>
      <w:r w:rsidDel="00000000" w:rsidR="00000000" w:rsidRPr="00000000">
        <w:rPr>
          <w:highlight w:val="white"/>
          <w:rtl w:val="0"/>
        </w:rPr>
        <w:t xml:space="preserve"> TestNG BeforeSuite method will run before all tests in this suite have run.</w:t>
      </w:r>
    </w:p>
    <w:p w:rsidR="00000000" w:rsidDel="00000000" w:rsidP="00000000" w:rsidRDefault="00000000" w:rsidRPr="00000000" w14:paraId="00000033">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@AfterSuite: </w:t>
      </w:r>
      <w:r w:rsidDel="00000000" w:rsidR="00000000" w:rsidRPr="00000000">
        <w:rPr>
          <w:highlight w:val="white"/>
          <w:rtl w:val="0"/>
        </w:rPr>
        <w:t xml:space="preserve"> TestNG AfterSuite method will be run after all tests in this suite have </w:t>
      </w:r>
      <w:r w:rsidDel="00000000" w:rsidR="00000000" w:rsidRPr="00000000">
        <w:rPr>
          <w:highlight w:val="white"/>
          <w:rtl w:val="0"/>
        </w:rPr>
        <w:t xml:space="preserve">run.</w:t>
      </w:r>
    </w:p>
    <w:p w:rsidR="00000000" w:rsidDel="00000000" w:rsidP="00000000" w:rsidRDefault="00000000" w:rsidRPr="00000000" w14:paraId="00000034">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@BeforeTest: </w:t>
      </w:r>
      <w:r w:rsidDel="00000000" w:rsidR="00000000" w:rsidRPr="00000000">
        <w:rPr>
          <w:highlight w:val="white"/>
          <w:rtl w:val="0"/>
        </w:rPr>
        <w:t xml:space="preserve">TestNG BeforeTest method will execute before any test method belonging to the classes inside the tag is run.</w:t>
      </w:r>
    </w:p>
    <w:p w:rsidR="00000000" w:rsidDel="00000000" w:rsidP="00000000" w:rsidRDefault="00000000" w:rsidRPr="00000000" w14:paraId="00000035">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@AfterTest: TestNG AfterTest method will run after all the test methods belonging to the classes inside the tag have run.</w:t>
      </w:r>
    </w:p>
    <w:p w:rsidR="00000000" w:rsidDel="00000000" w:rsidP="00000000" w:rsidRDefault="00000000" w:rsidRPr="00000000" w14:paraId="00000036">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@BeforeGroups: The list of groups that this configuration method will execute before. TestNG BeforeGroups method is ensured to run immediately before the first test method that belongs to any of these groups is invoked.</w:t>
      </w:r>
    </w:p>
    <w:p w:rsidR="00000000" w:rsidDel="00000000" w:rsidP="00000000" w:rsidRDefault="00000000" w:rsidRPr="00000000" w14:paraId="00000037">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@AfterGroups: The list of groups that this configuration method will execute after. TestNG AfterGroups method is confirmed to run immediately after the last test method that belongs to any of these groups is invoked.</w:t>
      </w:r>
    </w:p>
    <w:p w:rsidR="00000000" w:rsidDel="00000000" w:rsidP="00000000" w:rsidRDefault="00000000" w:rsidRPr="00000000" w14:paraId="00000038">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@BeforeClass: TestNG BeforeClass method will run before the first test method in the current class invokes.</w:t>
      </w:r>
    </w:p>
    <w:p w:rsidR="00000000" w:rsidDel="00000000" w:rsidP="00000000" w:rsidRDefault="00000000" w:rsidRPr="00000000" w14:paraId="00000039">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@AfterClass: TestNG AfterClass method will run after all the test methods in the current class run.</w:t>
      </w:r>
    </w:p>
    <w:p w:rsidR="00000000" w:rsidDel="00000000" w:rsidP="00000000" w:rsidRDefault="00000000" w:rsidRPr="00000000" w14:paraId="0000003A">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@BeforeMethod: TestNG BeforeMethod method will run before each test method.</w:t>
      </w:r>
    </w:p>
    <w:p w:rsidR="00000000" w:rsidDel="00000000" w:rsidP="00000000" w:rsidRDefault="00000000" w:rsidRPr="00000000" w14:paraId="0000003B">
      <w:pPr>
        <w:numPr>
          <w:ilvl w:val="0"/>
          <w:numId w:val="2"/>
        </w:numPr>
        <w:pBdr>
          <w:top w:color="auto" w:space="0" w:sz="0" w:val="none"/>
          <w:bottom w:color="auto" w:space="0" w:sz="0" w:val="none"/>
          <w:right w:color="auto" w:space="0" w:sz="0" w:val="none"/>
          <w:between w:color="auto" w:space="0" w:sz="0" w:val="none"/>
        </w:pBdr>
        <w:spacing w:after="0" w:afterAutospacing="0" w:lineRule="auto"/>
        <w:ind w:left="1020" w:hanging="360"/>
        <w:rPr>
          <w:color w:val="000000"/>
          <w:sz w:val="22"/>
          <w:szCs w:val="22"/>
          <w:highlight w:val="white"/>
        </w:rPr>
      </w:pPr>
      <w:r w:rsidDel="00000000" w:rsidR="00000000" w:rsidRPr="00000000">
        <w:rPr>
          <w:highlight w:val="white"/>
          <w:rtl w:val="0"/>
        </w:rPr>
        <w:t xml:space="preserve">@AfterMethod: TestNG AfterMethod method will run after each test method.</w:t>
      </w:r>
    </w:p>
    <w:p w:rsidR="00000000" w:rsidDel="00000000" w:rsidP="00000000" w:rsidRDefault="00000000" w:rsidRPr="00000000" w14:paraId="0000003C">
      <w:pPr>
        <w:numPr>
          <w:ilvl w:val="0"/>
          <w:numId w:val="2"/>
        </w:numPr>
        <w:pBdr>
          <w:top w:color="auto" w:space="0" w:sz="0" w:val="none"/>
          <w:bottom w:color="auto" w:space="0" w:sz="0" w:val="none"/>
          <w:right w:color="auto" w:space="0" w:sz="0" w:val="none"/>
          <w:between w:color="auto" w:space="0" w:sz="0" w:val="none"/>
        </w:pBdr>
        <w:spacing w:after="320" w:lineRule="auto"/>
        <w:ind w:left="1020" w:hanging="360"/>
        <w:rPr>
          <w:color w:val="000000"/>
          <w:sz w:val="22"/>
          <w:szCs w:val="22"/>
          <w:highlight w:val="white"/>
        </w:rPr>
      </w:pPr>
      <w:r w:rsidDel="00000000" w:rsidR="00000000" w:rsidRPr="00000000">
        <w:rPr>
          <w:highlight w:val="white"/>
          <w:rtl w:val="0"/>
        </w:rPr>
        <w:t xml:space="preserve">@Test: This annotated method is a part of a test case.</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after="320" w:lineRule="auto"/>
        <w:ind w:left="720" w:firstLine="0"/>
        <w:rPr>
          <w:highlight w:val="white"/>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320" w:lineRule="auto"/>
        <w:ind w:left="720" w:firstLine="0"/>
        <w:rPr>
          <w:color w:val="434343"/>
          <w:highlight w:val="white"/>
        </w:rPr>
      </w:pPr>
      <w:r w:rsidDel="00000000" w:rsidR="00000000" w:rsidRPr="00000000">
        <w:rPr>
          <w:color w:val="434343"/>
          <w:highlight w:val="white"/>
          <w:rtl w:val="0"/>
        </w:rPr>
        <w:t xml:space="preserve">Q4- Print the order of TestNG annotations?</w:t>
      </w:r>
    </w:p>
    <w:p w:rsidR="00000000" w:rsidDel="00000000" w:rsidP="00000000" w:rsidRDefault="00000000" w:rsidRPr="00000000" w14:paraId="0000004C">
      <w:pPr>
        <w:rPr>
          <w:color w:val="434343"/>
          <w:highlight w:val="white"/>
        </w:rPr>
      </w:pPr>
      <w:r w:rsidDel="00000000" w:rsidR="00000000" w:rsidRPr="00000000">
        <w:rPr>
          <w:color w:val="434343"/>
          <w:highlight w:val="white"/>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color w:val="434343"/>
          <w:highlight w:val="white"/>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color w:val="434343"/>
          <w:highlight w:val="white"/>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color w:val="434343"/>
          <w:highlight w:val="white"/>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color w:val="434343"/>
          <w:highlight w:val="white"/>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color w:val="434343"/>
          <w:highlight w:val="white"/>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color w:val="434343"/>
          <w:highlight w:val="white"/>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ultimateqa.com/simple-html-elements-for-automation/" TargetMode="Externa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