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4D012" w14:textId="35ACC136" w:rsidR="00DA49EB" w:rsidRDefault="00DA49EB" w:rsidP="004948CD">
      <w:pPr>
        <w:pStyle w:val="Podnaslov"/>
        <w:jc w:val="center"/>
      </w:pPr>
      <w:r>
        <w:t>Projekat iz Osnova Telekomunikacija</w:t>
      </w:r>
    </w:p>
    <w:p w14:paraId="3F7D10A1" w14:textId="4799F33A" w:rsidR="00DA49EB" w:rsidRPr="004948CD" w:rsidRDefault="00DA49EB" w:rsidP="00DA49EB">
      <w:pPr>
        <w:pStyle w:val="Naslov"/>
        <w:jc w:val="center"/>
        <w:rPr>
          <w:sz w:val="48"/>
          <w:szCs w:val="48"/>
        </w:rPr>
      </w:pPr>
      <w:r w:rsidRPr="004948CD">
        <w:rPr>
          <w:sz w:val="48"/>
          <w:szCs w:val="48"/>
        </w:rPr>
        <w:t>Analiza procesa postupaka zaštitnog kodiranja izvora na prenos digitalnog signala</w:t>
      </w:r>
    </w:p>
    <w:p w14:paraId="3558D512" w14:textId="42EAD442" w:rsidR="004948CD" w:rsidRPr="004948CD" w:rsidRDefault="004948CD" w:rsidP="004948CD">
      <w:pPr>
        <w:pStyle w:val="Naslov"/>
        <w:jc w:val="center"/>
        <w:rPr>
          <w:sz w:val="36"/>
          <w:szCs w:val="36"/>
        </w:rPr>
      </w:pPr>
      <w:r w:rsidRPr="004948CD">
        <w:rPr>
          <w:sz w:val="36"/>
          <w:szCs w:val="36"/>
        </w:rPr>
        <w:t>Ilija Anastasijević 0108/2018</w:t>
      </w:r>
    </w:p>
    <w:p w14:paraId="45DDADA9" w14:textId="36C38674" w:rsidR="004948CD" w:rsidRDefault="004948CD" w:rsidP="004948CD">
      <w:pPr>
        <w:pStyle w:val="Naslov"/>
        <w:jc w:val="center"/>
        <w:rPr>
          <w:sz w:val="36"/>
          <w:szCs w:val="36"/>
        </w:rPr>
      </w:pPr>
      <w:r w:rsidRPr="004948CD">
        <w:rPr>
          <w:sz w:val="36"/>
          <w:szCs w:val="36"/>
        </w:rPr>
        <w:t>Ana-Marija Ćeranić 0215/2018</w:t>
      </w:r>
    </w:p>
    <w:p w14:paraId="0609DF58" w14:textId="43C9E638" w:rsidR="004948CD" w:rsidRDefault="004948CD" w:rsidP="004948CD"/>
    <w:p w14:paraId="3391D57A" w14:textId="5FD334D3" w:rsidR="004948CD" w:rsidRDefault="004948CD" w:rsidP="004948CD">
      <w:pPr>
        <w:pStyle w:val="Naslov1"/>
      </w:pPr>
      <w:r>
        <w:t>Postupci zaštitnog kodiranja</w:t>
      </w:r>
    </w:p>
    <w:p w14:paraId="449E69D4" w14:textId="0C4EC86E" w:rsidR="004948CD" w:rsidRDefault="004948CD" w:rsidP="004948CD"/>
    <w:p w14:paraId="0DD69B38" w14:textId="01F7F3FC" w:rsidR="00212900" w:rsidRDefault="004948CD" w:rsidP="00CB38BB">
      <w:pPr>
        <w:jc w:val="both"/>
      </w:pPr>
      <w:r>
        <w:t>Prilikom prenošenja informacija upotrebom digitalnog signala, često se dešava da tokom prenosa, usled šuma ili drugih efekata, dođe do greške pri prenosu signala, pri čemu dolazi do promene vrednosti bitova iz 0 u 1, ili obrnuto. Pošto ta greška</w:t>
      </w:r>
      <w:r w:rsidR="00212900">
        <w:t xml:space="preserve"> može da izazove neželjene efekte na strani prijemnika usled prenošenja pogrešne informacije, poželjno je da na neki način otkrijemo i ispravimo grešku.</w:t>
      </w:r>
      <w:r w:rsidR="008518A8">
        <w:t xml:space="preserve"> Osnovna ideja je da u poruku koju šaljemo veštački unesemo </w:t>
      </w:r>
      <w:proofErr w:type="spellStart"/>
      <w:r w:rsidR="008518A8">
        <w:t>redundansu</w:t>
      </w:r>
      <w:proofErr w:type="spellEnd"/>
      <w:r w:rsidR="008518A8">
        <w:t>.</w:t>
      </w:r>
    </w:p>
    <w:p w14:paraId="2057BE8D" w14:textId="77777777" w:rsidR="00691008" w:rsidRDefault="00691008" w:rsidP="00CB38BB">
      <w:pPr>
        <w:jc w:val="both"/>
      </w:pPr>
    </w:p>
    <w:p w14:paraId="0805C2C1" w14:textId="5EC598F0" w:rsidR="00212900" w:rsidRDefault="00212900" w:rsidP="00212900">
      <w:pPr>
        <w:pStyle w:val="Naslov2"/>
      </w:pPr>
      <w:r>
        <w:t>Bit parnosti</w:t>
      </w:r>
    </w:p>
    <w:p w14:paraId="5D89055B" w14:textId="77777777" w:rsidR="00212900" w:rsidRPr="00212900" w:rsidRDefault="00212900" w:rsidP="00212900"/>
    <w:p w14:paraId="456BD257" w14:textId="0270AE17" w:rsidR="004948CD" w:rsidRDefault="00212900" w:rsidP="00CB38BB">
      <w:pPr>
        <w:jc w:val="both"/>
      </w:pPr>
      <w:r>
        <w:t xml:space="preserve">Najjednostavniji način detektovanja greške je upotrebom bita parnosti. Bit parnosti je poseban bit koji ima vrednost 0 ako je broj jedinica u reči paran, a 1 ako je broj jedinica neparan. Nakon prenosa, generiše se novi bit parnosti na osnovu primljene reči. Ako se ova dva bita parnosti ne poklapaju, prilikom prenosa se desila greška: ili su se promenili bitovi u prenesenoj poruci, ili je došlo do greške pri prenosu samog bita parnosti. Nakon što detektuje grešku, prijemnik može od predajnika da zatraži ponovno slanje poruke. Međutim, to je moguće samo ako postoji dvosmerna veza između prijemnika i predajnika. Osim toga, neophodno je ponovo poslati celu poruku ili deo poruke, što usporava prenos. Zbog toga se koriste zaštitni kodovi koji, osim mogućnosti detekcije greške, mogu i da je isprave. Ovde analiziramo postupke </w:t>
      </w:r>
      <w:proofErr w:type="spellStart"/>
      <w:r>
        <w:t>repeticionog</w:t>
      </w:r>
      <w:proofErr w:type="spellEnd"/>
      <w:r>
        <w:t xml:space="preserve"> i </w:t>
      </w:r>
      <w:proofErr w:type="spellStart"/>
      <w:r>
        <w:t>Hemingovog</w:t>
      </w:r>
      <w:proofErr w:type="spellEnd"/>
      <w:r>
        <w:t xml:space="preserve"> kodiranja.</w:t>
      </w:r>
    </w:p>
    <w:p w14:paraId="37D35863" w14:textId="41F29201" w:rsidR="00212900" w:rsidRDefault="00212900" w:rsidP="004948CD"/>
    <w:p w14:paraId="11D7F826" w14:textId="5C3CF9EE" w:rsidR="00212900" w:rsidRDefault="00212900" w:rsidP="00212900">
      <w:pPr>
        <w:pStyle w:val="Naslov2"/>
      </w:pPr>
      <w:proofErr w:type="spellStart"/>
      <w:r>
        <w:t>Repeticiono</w:t>
      </w:r>
      <w:proofErr w:type="spellEnd"/>
      <w:r>
        <w:t xml:space="preserve"> kodiranje</w:t>
      </w:r>
    </w:p>
    <w:p w14:paraId="2A4D03B7" w14:textId="67945EAB" w:rsidR="00212900" w:rsidRDefault="00212900" w:rsidP="00212900"/>
    <w:p w14:paraId="4158B186" w14:textId="6135DCF2" w:rsidR="008518A8" w:rsidRDefault="00212900" w:rsidP="00CB38BB">
      <w:pPr>
        <w:jc w:val="both"/>
      </w:pPr>
      <w:proofErr w:type="spellStart"/>
      <w:r>
        <w:t>Repeticiono</w:t>
      </w:r>
      <w:proofErr w:type="spellEnd"/>
      <w:r>
        <w:t xml:space="preserve"> kodiranje eliminiše potrebu da prijemnik od predajnika traži ponovno slanje poruke tako što unapred šalje određen broj kopija jednog bita</w:t>
      </w:r>
      <w:r w:rsidR="008518A8">
        <w:t xml:space="preserve">, npr. binarna poruka 1010, nakon </w:t>
      </w:r>
      <w:proofErr w:type="spellStart"/>
      <w:r w:rsidR="008518A8">
        <w:t>repeticionog</w:t>
      </w:r>
      <w:proofErr w:type="spellEnd"/>
      <w:r w:rsidR="008518A8">
        <w:t xml:space="preserve"> kodiranja reda 3, postaje 111000111000. Nakon što primi uzastopno kodirane bite, prijemnik procesom većinskog odlučivanja određuje koji bit je bio poslat. Na prethodnom primeru, ako tokom prenošenja sekvence 111 dođe do greške, i prijemnik primi sekvencu 101, on će i dalje uspešno detektovati da je predajnik poslao jedinicu. Međutim, ako bi došlo do još jedne greške, npr. 100, prijemnik će pogrešno </w:t>
      </w:r>
      <w:proofErr w:type="spellStart"/>
      <w:r w:rsidR="008518A8">
        <w:t>dekodovati</w:t>
      </w:r>
      <w:proofErr w:type="spellEnd"/>
      <w:r w:rsidR="008518A8">
        <w:t xml:space="preserve"> 0. Ovaj problem se može rešiti povećanjem reda </w:t>
      </w:r>
      <w:proofErr w:type="spellStart"/>
      <w:r w:rsidR="008518A8">
        <w:t>repeticionog</w:t>
      </w:r>
      <w:proofErr w:type="spellEnd"/>
      <w:r w:rsidR="008518A8">
        <w:t xml:space="preserve"> koda. </w:t>
      </w:r>
      <w:proofErr w:type="spellStart"/>
      <w:r w:rsidR="008518A8">
        <w:t>Repeticioni</w:t>
      </w:r>
      <w:proofErr w:type="spellEnd"/>
      <w:r w:rsidR="008518A8">
        <w:t xml:space="preserve"> kod reda 3 ispravlja jednu grešku, </w:t>
      </w:r>
      <w:r w:rsidR="008518A8">
        <w:lastRenderedPageBreak/>
        <w:t xml:space="preserve">reda 5 dve greške, reda 7 tri greške, itd. Mana </w:t>
      </w:r>
      <w:proofErr w:type="spellStart"/>
      <w:r w:rsidR="008518A8">
        <w:t>repeticionog</w:t>
      </w:r>
      <w:proofErr w:type="spellEnd"/>
      <w:r w:rsidR="008518A8">
        <w:t xml:space="preserve"> kodiranja je velika </w:t>
      </w:r>
      <w:proofErr w:type="spellStart"/>
      <w:r w:rsidR="008518A8">
        <w:t>redundansa</w:t>
      </w:r>
      <w:proofErr w:type="spellEnd"/>
      <w:r w:rsidR="008518A8">
        <w:t xml:space="preserve"> bitova: ovo čini kod veoma otpornim na greške, ali povećava ukupan broj bitova koji je neophodno poslati, što usporava prenos podataka.</w:t>
      </w:r>
    </w:p>
    <w:p w14:paraId="6A6A29D2" w14:textId="77777777" w:rsidR="00691008" w:rsidRDefault="00691008" w:rsidP="00CB38BB">
      <w:pPr>
        <w:jc w:val="both"/>
      </w:pPr>
    </w:p>
    <w:p w14:paraId="33227ED3" w14:textId="4B232E8C" w:rsidR="008518A8" w:rsidRDefault="008518A8" w:rsidP="008518A8">
      <w:pPr>
        <w:pStyle w:val="Naslov2"/>
      </w:pPr>
      <w:proofErr w:type="spellStart"/>
      <w:r>
        <w:t>H</w:t>
      </w:r>
      <w:r w:rsidR="0089466F">
        <w:t>e</w:t>
      </w:r>
      <w:r>
        <w:t>mingov</w:t>
      </w:r>
      <w:proofErr w:type="spellEnd"/>
      <w:r>
        <w:t xml:space="preserve"> kod</w:t>
      </w:r>
    </w:p>
    <w:p w14:paraId="07FE912F" w14:textId="60DFBD28" w:rsidR="008518A8" w:rsidRDefault="008518A8" w:rsidP="008518A8"/>
    <w:p w14:paraId="476606C6" w14:textId="04266713" w:rsidR="008518A8" w:rsidRDefault="00A800F6" w:rsidP="00CB38BB">
      <w:pPr>
        <w:jc w:val="both"/>
      </w:pPr>
      <w:proofErr w:type="spellStart"/>
      <w:r>
        <w:t>Hemingov</w:t>
      </w:r>
      <w:proofErr w:type="spellEnd"/>
      <w:r>
        <w:t xml:space="preserve"> kod je osmi</w:t>
      </w:r>
      <w:r w:rsidR="005B6DF3">
        <w:t>slio</w:t>
      </w:r>
      <w:r>
        <w:t xml:space="preserve"> Ričard </w:t>
      </w:r>
      <w:proofErr w:type="spellStart"/>
      <w:r>
        <w:t>Heming</w:t>
      </w:r>
      <w:proofErr w:type="spellEnd"/>
      <w:r w:rsidR="0089466F">
        <w:t>,</w:t>
      </w:r>
      <w:r>
        <w:t xml:space="preserve"> motivisan da pronađe</w:t>
      </w:r>
      <w:r w:rsidR="00A81536">
        <w:t xml:space="preserve"> elegantniji</w:t>
      </w:r>
      <w:r>
        <w:t xml:space="preserve"> sistem koji je u</w:t>
      </w:r>
      <w:r w:rsidR="0009648C">
        <w:t xml:space="preserve"> </w:t>
      </w:r>
      <w:r>
        <w:t>stanju da detektuje i ispravi grešku u signalu.</w:t>
      </w:r>
      <w:r w:rsidR="0009648C">
        <w:t xml:space="preserve"> </w:t>
      </w:r>
    </w:p>
    <w:p w14:paraId="70132EE2" w14:textId="0F2D2F5A" w:rsidR="00C81D28" w:rsidRDefault="0009648C" w:rsidP="00CB38BB">
      <w:pPr>
        <w:jc w:val="both"/>
      </w:pPr>
      <w:proofErr w:type="spellStart"/>
      <w:r>
        <w:t>Hemingov</w:t>
      </w:r>
      <w:proofErr w:type="spellEnd"/>
      <w:r>
        <w:t xml:space="preserve"> kod </w:t>
      </w:r>
      <m:oMath>
        <m:r>
          <w:rPr>
            <w:rFonts w:ascii="Cambria Math" w:hAnsi="Cambria Math"/>
          </w:rPr>
          <m:t>(n,k)</m:t>
        </m:r>
      </m:oMath>
      <w:r w:rsidR="00330F21">
        <w:t xml:space="preserve"> je moguće konstruisati z</w:t>
      </w:r>
      <w:r w:rsidR="00330F21">
        <w:t xml:space="preserve">a svaki ceo broj </w:t>
      </w:r>
      <m:oMath>
        <m:r>
          <w:rPr>
            <w:rFonts w:ascii="Cambria Math" w:hAnsi="Cambria Math"/>
          </w:rPr>
          <m:t>r≥2,</m:t>
        </m:r>
      </m:oMath>
      <w:r>
        <w:t xml:space="preserve"> </w:t>
      </w:r>
      <m:oMath>
        <m:r>
          <w:rPr>
            <w:rFonts w:ascii="Cambria Math" w:hAnsi="Cambria Math"/>
          </w:rPr>
          <m:t xml:space="preserve">n= </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w:rPr>
            <w:rFonts w:ascii="Cambria Math" w:hAnsi="Cambria Math"/>
          </w:rPr>
          <m:t xml:space="preserve"> </m:t>
        </m:r>
      </m:oMath>
      <w:r>
        <w:t xml:space="preserve"> predstavlja </w:t>
      </w:r>
      <w:r w:rsidR="00330F21">
        <w:t xml:space="preserve">dužinu </w:t>
      </w:r>
      <w:r w:rsidR="005B6DF3">
        <w:t>kodirane</w:t>
      </w:r>
      <w:r w:rsidR="00330F21">
        <w:t xml:space="preserve"> </w:t>
      </w:r>
      <w:r>
        <w:t xml:space="preserve"> sekvenc</w:t>
      </w:r>
      <w:r w:rsidR="00330F21">
        <w:t>e</w:t>
      </w:r>
      <w:r w:rsidR="005B6DF3">
        <w:t>,</w:t>
      </w:r>
      <w:r>
        <w:t xml:space="preserve"> a </w:t>
      </w:r>
      <m:oMath>
        <m:r>
          <w:rPr>
            <w:rFonts w:ascii="Cambria Math" w:hAnsi="Cambria Math"/>
          </w:rPr>
          <m:t>k</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-r-1</m:t>
        </m:r>
      </m:oMath>
      <w:r w:rsidR="00330F21">
        <w:rPr>
          <w:rFonts w:eastAsiaTheme="minorEastAsia"/>
        </w:rPr>
        <w:t xml:space="preserve"> </w:t>
      </w:r>
      <w:r>
        <w:t xml:space="preserve"> </w:t>
      </w:r>
      <w:r w:rsidR="00330F21">
        <w:t xml:space="preserve">dužinu poruke </w:t>
      </w:r>
      <w:r>
        <w:t>poslat</w:t>
      </w:r>
      <w:r w:rsidR="00330F21">
        <w:t>e</w:t>
      </w:r>
      <w:r>
        <w:t xml:space="preserve"> od strane predajnik</w:t>
      </w:r>
      <w:r w:rsidR="00330F21">
        <w:t>a</w:t>
      </w:r>
      <w:r>
        <w:t>.</w:t>
      </w:r>
      <w:r w:rsidR="00330F21">
        <w:t xml:space="preserve"> </w:t>
      </w:r>
      <w:r w:rsidR="00330F21" w:rsidRPr="00330F21">
        <w:t xml:space="preserve">U </w:t>
      </w:r>
      <w:r w:rsidR="008D1BB1">
        <w:t>simulaciji</w:t>
      </w:r>
      <w:r w:rsidR="00330F21" w:rsidRPr="00330F21">
        <w:t xml:space="preserve"> je korišćen </w:t>
      </w:r>
      <w:proofErr w:type="spellStart"/>
      <w:r w:rsidR="00330F21" w:rsidRPr="00330F21">
        <w:t>Hemingov</w:t>
      </w:r>
      <w:proofErr w:type="spellEnd"/>
      <w:r w:rsidR="00330F21" w:rsidRPr="00330F21">
        <w:t xml:space="preserve"> kod (</w:t>
      </w:r>
      <w:r w:rsidR="00F46CAA">
        <w:t>7</w:t>
      </w:r>
      <w:r w:rsidR="00330F21" w:rsidRPr="00330F21">
        <w:t>,</w:t>
      </w:r>
      <w:r w:rsidR="00F46CAA">
        <w:t>4</w:t>
      </w:r>
      <w:r w:rsidR="00330F21" w:rsidRPr="00330F21">
        <w:t xml:space="preserve">) i </w:t>
      </w:r>
      <w:proofErr w:type="spellStart"/>
      <w:r w:rsidR="00330F21" w:rsidRPr="00330F21">
        <w:t>Hamingov</w:t>
      </w:r>
      <w:proofErr w:type="spellEnd"/>
      <w:r w:rsidR="00330F21" w:rsidRPr="00330F21">
        <w:t xml:space="preserve"> kod (</w:t>
      </w:r>
      <w:r w:rsidR="00F46CAA">
        <w:t>12</w:t>
      </w:r>
      <w:r w:rsidR="00330F21" w:rsidRPr="00330F21">
        <w:t>,</w:t>
      </w:r>
      <w:r w:rsidR="00F46CAA">
        <w:t>8</w:t>
      </w:r>
      <w:r w:rsidR="00330F21" w:rsidRPr="00330F21">
        <w:t xml:space="preserve">). U nastavku će biti objašnjen princip rada </w:t>
      </w:r>
      <w:proofErr w:type="spellStart"/>
      <w:r w:rsidR="00330F21" w:rsidRPr="00330F21">
        <w:t>Hemingovog</w:t>
      </w:r>
      <w:proofErr w:type="spellEnd"/>
      <w:r w:rsidR="00330F21" w:rsidRPr="00330F21">
        <w:t xml:space="preserve"> koda (7,4)</w:t>
      </w:r>
      <w:r w:rsidR="00330F21">
        <w:t>.</w:t>
      </w:r>
    </w:p>
    <w:p w14:paraId="5E1B82FE" w14:textId="798ED6ED" w:rsidR="00C81D28" w:rsidRDefault="00C81D28" w:rsidP="00330F21">
      <w:r>
        <w:t>Opšti oblik kodirane sekvence</w:t>
      </w:r>
      <w:r w:rsidR="009D5409">
        <w:t xml:space="preserve"> dužine </w:t>
      </w:r>
      <m:oMath>
        <m:r>
          <w:rPr>
            <w:rFonts w:ascii="Cambria Math" w:hAnsi="Cambria Math"/>
          </w:rPr>
          <m:t>n=7</m:t>
        </m:r>
      </m:oMath>
      <w:r>
        <w:t xml:space="preserve"> možemo predstaviti na sledeći način: </w:t>
      </w:r>
    </w:p>
    <w:tbl>
      <w:tblPr>
        <w:tblW w:w="0" w:type="auto"/>
        <w:tblInd w:w="12" w:type="dxa"/>
        <w:tblLook w:val="0000" w:firstRow="0" w:lastRow="0" w:firstColumn="0" w:lastColumn="0" w:noHBand="0" w:noVBand="0"/>
      </w:tblPr>
      <w:tblGrid>
        <w:gridCol w:w="492"/>
        <w:gridCol w:w="492"/>
        <w:gridCol w:w="492"/>
        <w:gridCol w:w="492"/>
        <w:gridCol w:w="492"/>
        <w:gridCol w:w="492"/>
        <w:gridCol w:w="492"/>
      </w:tblGrid>
      <w:tr w:rsidR="00C81D28" w14:paraId="437BD31A" w14:textId="77777777" w:rsidTr="00E46FFC">
        <w:tblPrEx>
          <w:tblCellMar>
            <w:top w:w="0" w:type="dxa"/>
            <w:bottom w:w="0" w:type="dxa"/>
          </w:tblCellMar>
        </w:tblPrEx>
        <w:trPr>
          <w:trHeight w:val="107"/>
        </w:trPr>
        <w:tc>
          <w:tcPr>
            <w:tcW w:w="492" w:type="dxa"/>
          </w:tcPr>
          <w:p w14:paraId="607D4108" w14:textId="77777777" w:rsidR="00C81D28" w:rsidRDefault="00C81D28" w:rsidP="00E46FFC">
            <m:oMathPara>
              <m:oMath>
                <m:r>
                  <w:rPr>
                    <w:rFonts w:ascii="Cambria Math" w:hAnsi="Cambria Math"/>
                  </w:rPr>
                  <m:t>d7</m:t>
                </m:r>
              </m:oMath>
            </m:oMathPara>
          </w:p>
        </w:tc>
        <w:tc>
          <w:tcPr>
            <w:tcW w:w="492" w:type="dxa"/>
          </w:tcPr>
          <w:p w14:paraId="4034CC4A" w14:textId="77777777" w:rsidR="00C81D28" w:rsidRPr="00DF1E54" w:rsidRDefault="00C81D28" w:rsidP="00E46FFC">
            <w:pPr>
              <w:rPr>
                <w:i/>
                <w:iCs/>
              </w:rPr>
            </w:pPr>
            <m:oMathPara>
              <m:oMath>
                <m:r>
                  <w:rPr>
                    <w:rFonts w:ascii="Cambria Math" w:hAnsi="Cambria Math"/>
                  </w:rPr>
                  <m:t>d6</m:t>
                </m:r>
              </m:oMath>
            </m:oMathPara>
          </w:p>
        </w:tc>
        <w:tc>
          <w:tcPr>
            <w:tcW w:w="492" w:type="dxa"/>
          </w:tcPr>
          <w:p w14:paraId="448DFA70" w14:textId="77777777" w:rsidR="00C81D28" w:rsidRDefault="00C81D28" w:rsidP="00E46FFC">
            <m:oMathPara>
              <m:oMath>
                <m:r>
                  <w:rPr>
                    <w:rFonts w:ascii="Cambria Math" w:hAnsi="Cambria Math"/>
                  </w:rPr>
                  <m:t>d5</m:t>
                </m:r>
              </m:oMath>
            </m:oMathPara>
          </w:p>
        </w:tc>
        <w:tc>
          <w:tcPr>
            <w:tcW w:w="492" w:type="dxa"/>
          </w:tcPr>
          <w:p w14:paraId="15CD8670" w14:textId="77777777" w:rsidR="00C81D28" w:rsidRDefault="00C81D28" w:rsidP="00E46FFC">
            <m:oMathPara>
              <m:oMath>
                <m:r>
                  <w:rPr>
                    <w:rFonts w:ascii="Cambria Math" w:hAnsi="Cambria Math"/>
                  </w:rPr>
                  <m:t>p4</m:t>
                </m:r>
              </m:oMath>
            </m:oMathPara>
          </w:p>
        </w:tc>
        <w:tc>
          <w:tcPr>
            <w:tcW w:w="492" w:type="dxa"/>
          </w:tcPr>
          <w:p w14:paraId="08AB31CF" w14:textId="77777777" w:rsidR="00C81D28" w:rsidRDefault="00C81D28" w:rsidP="00E46FFC">
            <m:oMathPara>
              <m:oMath>
                <m:r>
                  <w:rPr>
                    <w:rFonts w:ascii="Cambria Math" w:hAnsi="Cambria Math"/>
                  </w:rPr>
                  <m:t>d3</m:t>
                </m:r>
              </m:oMath>
            </m:oMathPara>
          </w:p>
        </w:tc>
        <w:tc>
          <w:tcPr>
            <w:tcW w:w="492" w:type="dxa"/>
          </w:tcPr>
          <w:p w14:paraId="2AA291BD" w14:textId="77777777" w:rsidR="00C81D28" w:rsidRDefault="00C81D28" w:rsidP="00E46FFC">
            <m:oMathPara>
              <m:oMath>
                <m:r>
                  <w:rPr>
                    <w:rFonts w:ascii="Cambria Math" w:hAnsi="Cambria Math"/>
                  </w:rPr>
                  <m:t>p2</m:t>
                </m:r>
              </m:oMath>
            </m:oMathPara>
          </w:p>
        </w:tc>
        <w:tc>
          <w:tcPr>
            <w:tcW w:w="492" w:type="dxa"/>
          </w:tcPr>
          <w:p w14:paraId="39BDDAB3" w14:textId="77777777" w:rsidR="00C81D28" w:rsidRDefault="00C81D28" w:rsidP="00E46FFC">
            <m:oMathPara>
              <m:oMath>
                <m:r>
                  <w:rPr>
                    <w:rFonts w:ascii="Cambria Math" w:hAnsi="Cambria Math"/>
                  </w:rPr>
                  <m:t>p1</m:t>
                </m:r>
              </m:oMath>
            </m:oMathPara>
          </w:p>
        </w:tc>
      </w:tr>
    </w:tbl>
    <w:p w14:paraId="328E9A7B" w14:textId="6234CA42" w:rsidR="00DF1E54" w:rsidRDefault="00691008" w:rsidP="00CB38BB">
      <w:pPr>
        <w:jc w:val="both"/>
        <w:rPr>
          <w:rFonts w:eastAsiaTheme="minorEastAsia"/>
        </w:rPr>
      </w:pPr>
      <w:r>
        <w:rPr>
          <w:rFonts w:eastAsiaTheme="minorEastAsia"/>
        </w:rPr>
        <w:t>P</w:t>
      </w:r>
      <w:r w:rsidR="009B25CB">
        <w:rPr>
          <w:rFonts w:eastAsiaTheme="minorEastAsia"/>
        </w:rPr>
        <w:t>ozicije bitova</w:t>
      </w:r>
      <w:r w:rsidR="00EB27A0">
        <w:rPr>
          <w:rFonts w:eastAsiaTheme="minorEastAsia"/>
        </w:rPr>
        <w:t xml:space="preserve"> koje</w:t>
      </w:r>
      <w:r w:rsidR="009B25CB">
        <w:rPr>
          <w:rFonts w:eastAsiaTheme="minorEastAsia"/>
        </w:rPr>
        <w:t xml:space="preserve"> ne predstavljaju stepen dvojke zauzimaju bitovi poruke, a pozicije koje su stepen dvojke zauzimaju bitovi parnosti.</w:t>
      </w:r>
      <w:r w:rsidR="00C81D28">
        <w:rPr>
          <w:rFonts w:eastAsiaTheme="minorEastAsia"/>
        </w:rPr>
        <w:t xml:space="preserve"> </w:t>
      </w:r>
      <w:r w:rsidR="0089466F">
        <w:rPr>
          <w:rFonts w:eastAsiaTheme="minorEastAsia"/>
        </w:rPr>
        <w:t>B</w:t>
      </w:r>
      <w:r w:rsidR="00DF1E54">
        <w:rPr>
          <w:rFonts w:eastAsiaTheme="minorEastAsia"/>
        </w:rPr>
        <w:t>itovima parnosti</w:t>
      </w:r>
      <w:r w:rsidR="008D075F">
        <w:rPr>
          <w:rFonts w:eastAsiaTheme="minorEastAsia"/>
        </w:rPr>
        <w:t xml:space="preserve"> su za </w:t>
      </w:r>
      <m:oMath>
        <m:r>
          <w:rPr>
            <w:rFonts w:ascii="Cambria Math" w:hAnsi="Cambria Math"/>
          </w:rPr>
          <m:t>n=7</m:t>
        </m:r>
      </m:oMath>
      <w:r w:rsidR="008D075F">
        <w:t xml:space="preserve"> </w:t>
      </w:r>
      <w:r w:rsidR="008D075F">
        <w:rPr>
          <w:rFonts w:eastAsiaTheme="minorEastAsia"/>
        </w:rPr>
        <w:t xml:space="preserve"> na pozicijama</w:t>
      </w:r>
      <w:r w:rsidR="00DF1E54">
        <w:rPr>
          <w:rFonts w:eastAsiaTheme="minorEastAsia"/>
        </w:rPr>
        <w:t xml:space="preserve"> 1,2 i 4</w:t>
      </w:r>
      <w:r w:rsidR="009B25CB">
        <w:rPr>
          <w:rFonts w:eastAsiaTheme="minorEastAsia"/>
        </w:rPr>
        <w:t xml:space="preserve">. </w:t>
      </w:r>
      <w:r w:rsidR="00DF1E54">
        <w:rPr>
          <w:rFonts w:eastAsiaTheme="minorEastAsia"/>
        </w:rPr>
        <w:t xml:space="preserve">Bitovi parnosti su zaduženi za one bitove čija pozicija sadrži </w:t>
      </w:r>
      <w:r w:rsidR="008D075F">
        <w:rPr>
          <w:rFonts w:eastAsiaTheme="minorEastAsia"/>
        </w:rPr>
        <w:t>pozicij</w:t>
      </w:r>
      <w:r w:rsidR="00D25EDE">
        <w:rPr>
          <w:rFonts w:eastAsiaTheme="minorEastAsia"/>
        </w:rPr>
        <w:t>u</w:t>
      </w:r>
      <w:r w:rsidR="008D075F">
        <w:rPr>
          <w:rFonts w:eastAsiaTheme="minorEastAsia"/>
        </w:rPr>
        <w:t xml:space="preserve"> </w:t>
      </w:r>
      <w:r w:rsidR="00D25EDE">
        <w:rPr>
          <w:rFonts w:eastAsiaTheme="minorEastAsia"/>
        </w:rPr>
        <w:t>tog bita parnosti</w:t>
      </w:r>
      <w:r w:rsidR="00DF1E54">
        <w:rPr>
          <w:rFonts w:eastAsiaTheme="minorEastAsia"/>
        </w:rPr>
        <w:t>. Na taj način imamo:</w:t>
      </w:r>
    </w:p>
    <w:p w14:paraId="572A2C52" w14:textId="182684F2" w:rsidR="00DF1E54" w:rsidRPr="00DF1E54" w:rsidRDefault="00DF1E54" w:rsidP="00DF1E54">
      <w:pPr>
        <w:rPr>
          <w:rFonts w:eastAsiaTheme="minorEastAsia"/>
        </w:rPr>
      </w:pPr>
      <m:oMath>
        <m:r>
          <w:rPr>
            <w:rFonts w:ascii="Cambria Math" w:eastAsiaTheme="minorEastAsia" w:hAnsi="Cambria Math"/>
          </w:rPr>
          <m:t>p1 :</m:t>
        </m:r>
        <m:d>
          <m:dPr>
            <m:ctrlPr>
              <w:rPr>
                <w:rFonts w:ascii="Cambria Math" w:eastAsiaTheme="minorEastAsia" w:hAnsi="Cambria Math"/>
                <w:i/>
              </w:rPr>
            </m:ctrlPr>
          </m:dPr>
          <m:e>
            <m:r>
              <w:rPr>
                <w:rFonts w:ascii="Cambria Math" w:eastAsiaTheme="minorEastAsia" w:hAnsi="Cambria Math"/>
              </w:rPr>
              <m:t>d3,d5,d7</m:t>
            </m:r>
          </m:e>
        </m:d>
      </m:oMath>
      <w:r w:rsidR="00166811">
        <w:rPr>
          <w:rFonts w:eastAsiaTheme="minorEastAsia"/>
        </w:rPr>
        <w:t xml:space="preserve"> </w:t>
      </w:r>
      <w:r w:rsidR="008D075F">
        <w:rPr>
          <w:rFonts w:eastAsiaTheme="minorEastAsia"/>
        </w:rPr>
        <w:tab/>
      </w:r>
    </w:p>
    <w:p w14:paraId="7BE5A4FC" w14:textId="0A88FADB" w:rsidR="00DF1E54" w:rsidRPr="00DF1E54" w:rsidRDefault="00DF1E54" w:rsidP="00330F21">
      <w:pPr>
        <w:rPr>
          <w:rFonts w:eastAsiaTheme="minorEastAsia"/>
        </w:rPr>
      </w:pPr>
      <m:oMath>
        <m:r>
          <w:rPr>
            <w:rFonts w:ascii="Cambria Math" w:eastAsiaTheme="minorEastAsia" w:hAnsi="Cambria Math"/>
          </w:rPr>
          <m:t>p2</m:t>
        </m:r>
        <m:r>
          <w:rPr>
            <w:rFonts w:ascii="Cambria Math" w:eastAsiaTheme="minorEastAsia" w:hAnsi="Cambria Math"/>
          </w:rPr>
          <m:t xml:space="preserve"> </m:t>
        </m:r>
        <m:r>
          <w:rPr>
            <w:rFonts w:ascii="Cambria Math" w:eastAsiaTheme="minorEastAsia" w:hAnsi="Cambria Math"/>
          </w:rPr>
          <m:t>:(d3,d6,d7</m:t>
        </m:r>
        <m:r>
          <w:rPr>
            <w:rFonts w:ascii="Cambria Math" w:eastAsiaTheme="minorEastAsia" w:hAnsi="Cambria Math"/>
          </w:rPr>
          <m:t>)</m:t>
        </m:r>
      </m:oMath>
      <w:r w:rsidR="00166811">
        <w:rPr>
          <w:rFonts w:eastAsiaTheme="minorEastAsia"/>
        </w:rPr>
        <w:t xml:space="preserve"> </w:t>
      </w:r>
    </w:p>
    <w:p w14:paraId="5F9FBE52" w14:textId="39125D16" w:rsidR="00DF1E54" w:rsidRPr="00DF1E54" w:rsidRDefault="00DF1E54" w:rsidP="00330F21">
      <w:pPr>
        <w:rPr>
          <w:rFonts w:eastAsiaTheme="minorEastAsia"/>
        </w:rPr>
      </w:pPr>
      <m:oMath>
        <m:r>
          <w:rPr>
            <w:rFonts w:ascii="Cambria Math" w:eastAsiaTheme="minorEastAsia" w:hAnsi="Cambria Math"/>
          </w:rPr>
          <m:t>p4</m:t>
        </m:r>
        <m:r>
          <w:rPr>
            <w:rFonts w:ascii="Cambria Math" w:eastAsiaTheme="minorEastAsia" w:hAnsi="Cambria Math"/>
          </w:rPr>
          <m:t xml:space="preserve"> </m:t>
        </m:r>
        <m:r>
          <w:rPr>
            <w:rFonts w:ascii="Cambria Math" w:eastAsiaTheme="minorEastAsia" w:hAnsi="Cambria Math"/>
          </w:rPr>
          <m:t>:(d5,d6,d7</m:t>
        </m:r>
        <m:r>
          <w:rPr>
            <w:rFonts w:ascii="Cambria Math" w:eastAsiaTheme="minorEastAsia" w:hAnsi="Cambria Math"/>
          </w:rPr>
          <m:t>)</m:t>
        </m:r>
      </m:oMath>
      <w:r w:rsidR="00166811">
        <w:rPr>
          <w:rFonts w:eastAsiaTheme="minorEastAsia"/>
        </w:rPr>
        <w:t xml:space="preserve"> </w:t>
      </w:r>
    </w:p>
    <w:p w14:paraId="0346FDCA" w14:textId="4105D6F5" w:rsidR="00166811" w:rsidRDefault="00DF1E54" w:rsidP="00CB38BB">
      <w:pPr>
        <w:jc w:val="both"/>
      </w:pPr>
      <w:r>
        <w:t>Vrednost bitova parnosti se dobija tako da u</w:t>
      </w:r>
      <w:r w:rsidR="002758A4">
        <w:t>kupan broj jedinica na bitu parnosti i njemu dodeljenim bitovima bude paran</w:t>
      </w:r>
      <w:r w:rsidR="00C81D28">
        <w:t xml:space="preserve"> u slučaju parne parnosti ili neparan u slučaju neparne parnosti. U nastavku ćemo pretpostaviti da je reč o parnoj parnosti.</w:t>
      </w:r>
      <w:r w:rsidR="008D1BB1">
        <w:t xml:space="preserve"> Zadaćemo konkretnu poruku na sledeći način:</w:t>
      </w:r>
    </w:p>
    <w:tbl>
      <w:tblPr>
        <w:tblW w:w="0" w:type="auto"/>
        <w:tblInd w:w="12" w:type="dxa"/>
        <w:tblLook w:val="0000" w:firstRow="0" w:lastRow="0" w:firstColumn="0" w:lastColumn="0" w:noHBand="0" w:noVBand="0"/>
      </w:tblPr>
      <w:tblGrid>
        <w:gridCol w:w="492"/>
        <w:gridCol w:w="492"/>
        <w:gridCol w:w="492"/>
        <w:gridCol w:w="492"/>
      </w:tblGrid>
      <w:tr w:rsidR="008D1BB1" w14:paraId="44028461" w14:textId="77777777" w:rsidTr="00E46FFC">
        <w:tblPrEx>
          <w:tblCellMar>
            <w:top w:w="0" w:type="dxa"/>
            <w:bottom w:w="0" w:type="dxa"/>
          </w:tblCellMar>
        </w:tblPrEx>
        <w:trPr>
          <w:trHeight w:val="107"/>
        </w:trPr>
        <w:tc>
          <w:tcPr>
            <w:tcW w:w="492" w:type="dxa"/>
          </w:tcPr>
          <w:p w14:paraId="4FD320B6" w14:textId="3F0C6F43" w:rsidR="008D1BB1" w:rsidRDefault="008D1BB1" w:rsidP="00E46FFC">
            <m:oMathPara>
              <m:oMath>
                <m:r>
                  <w:rPr>
                    <w:rFonts w:ascii="Cambria Math" w:hAnsi="Cambria Math"/>
                  </w:rPr>
                  <m:t>d7</m:t>
                </m:r>
              </m:oMath>
            </m:oMathPara>
          </w:p>
        </w:tc>
        <w:tc>
          <w:tcPr>
            <w:tcW w:w="492" w:type="dxa"/>
          </w:tcPr>
          <w:p w14:paraId="719ACC3E" w14:textId="49F8EFFE" w:rsidR="008D1BB1" w:rsidRPr="00DF1E54" w:rsidRDefault="008D1BB1" w:rsidP="00E46FFC">
            <w:pPr>
              <w:rPr>
                <w:i/>
                <w:iCs/>
              </w:rPr>
            </w:pPr>
            <m:oMathPara>
              <m:oMath>
                <m:r>
                  <w:rPr>
                    <w:rFonts w:ascii="Cambria Math" w:hAnsi="Cambria Math"/>
                  </w:rPr>
                  <m:t>d6</m:t>
                </m:r>
              </m:oMath>
            </m:oMathPara>
          </w:p>
        </w:tc>
        <w:tc>
          <w:tcPr>
            <w:tcW w:w="492" w:type="dxa"/>
          </w:tcPr>
          <w:p w14:paraId="5A9A5677" w14:textId="4E9B760F" w:rsidR="008D1BB1" w:rsidRDefault="008D1BB1" w:rsidP="00E46FFC">
            <m:oMathPara>
              <m:oMath>
                <m:r>
                  <w:rPr>
                    <w:rFonts w:ascii="Cambria Math" w:hAnsi="Cambria Math"/>
                  </w:rPr>
                  <m:t>d5</m:t>
                </m:r>
              </m:oMath>
            </m:oMathPara>
          </w:p>
        </w:tc>
        <w:tc>
          <w:tcPr>
            <w:tcW w:w="492" w:type="dxa"/>
          </w:tcPr>
          <w:p w14:paraId="6DF3FB74" w14:textId="5755E0F6" w:rsidR="008D1BB1" w:rsidRDefault="008D1BB1" w:rsidP="00E46FFC">
            <m:oMathPara>
              <m:oMath>
                <m:r>
                  <w:rPr>
                    <w:rFonts w:ascii="Cambria Math" w:hAnsi="Cambria Math"/>
                  </w:rPr>
                  <m:t>d3</m:t>
                </m:r>
              </m:oMath>
            </m:oMathPara>
          </w:p>
        </w:tc>
      </w:tr>
      <w:tr w:rsidR="008D1BB1" w14:paraId="1134F8D1" w14:textId="77777777" w:rsidTr="00E46FFC">
        <w:tblPrEx>
          <w:tblCellMar>
            <w:top w:w="0" w:type="dxa"/>
            <w:bottom w:w="0" w:type="dxa"/>
          </w:tblCellMar>
        </w:tblPrEx>
        <w:trPr>
          <w:trHeight w:val="107"/>
        </w:trPr>
        <w:tc>
          <w:tcPr>
            <w:tcW w:w="492" w:type="dxa"/>
          </w:tcPr>
          <w:p w14:paraId="5BA060F5" w14:textId="41F86477" w:rsidR="008D1BB1" w:rsidRDefault="008D1BB1" w:rsidP="00E46FFC">
            <w:pPr>
              <w:rPr>
                <w:rFonts w:ascii="Calibri" w:eastAsia="Calibri" w:hAnsi="Calibri" w:cs="Times New Roman"/>
              </w:rPr>
            </w:pPr>
            <m:oMathPara>
              <m:oMath>
                <m:r>
                  <w:rPr>
                    <w:rFonts w:ascii="Cambria Math" w:eastAsia="Calibri" w:hAnsi="Cambria Math" w:cs="Times New Roman"/>
                  </w:rPr>
                  <m:t>1</m:t>
                </m:r>
              </m:oMath>
            </m:oMathPara>
          </w:p>
        </w:tc>
        <w:tc>
          <w:tcPr>
            <w:tcW w:w="492" w:type="dxa"/>
          </w:tcPr>
          <w:p w14:paraId="32B48BD1" w14:textId="53DCB2E6" w:rsidR="008D1BB1" w:rsidRDefault="008D1BB1" w:rsidP="00E46FFC">
            <w:pPr>
              <w:rPr>
                <w:rFonts w:ascii="Calibri" w:eastAsia="Calibri" w:hAnsi="Calibri" w:cs="Times New Roman"/>
                <w:iCs/>
              </w:rPr>
            </w:pPr>
            <m:oMathPara>
              <m:oMath>
                <m:r>
                  <w:rPr>
                    <w:rFonts w:ascii="Cambria Math" w:eastAsia="Calibri" w:hAnsi="Cambria Math" w:cs="Times New Roman"/>
                  </w:rPr>
                  <m:t>0</m:t>
                </m:r>
              </m:oMath>
            </m:oMathPara>
          </w:p>
        </w:tc>
        <w:tc>
          <w:tcPr>
            <w:tcW w:w="492" w:type="dxa"/>
          </w:tcPr>
          <w:p w14:paraId="5364B195" w14:textId="1B2CB4C0" w:rsidR="008D1BB1" w:rsidRDefault="008D1BB1" w:rsidP="00E46FFC">
            <w:pPr>
              <w:rPr>
                <w:rFonts w:ascii="Calibri" w:eastAsia="Calibri" w:hAnsi="Calibri" w:cs="Times New Roman"/>
                <w:i/>
              </w:rPr>
            </w:pPr>
            <m:oMathPara>
              <m:oMath>
                <m:r>
                  <w:rPr>
                    <w:rFonts w:ascii="Cambria Math" w:eastAsia="Calibri" w:hAnsi="Cambria Math" w:cs="Times New Roman"/>
                  </w:rPr>
                  <m:t>1</m:t>
                </m:r>
              </m:oMath>
            </m:oMathPara>
          </w:p>
        </w:tc>
        <w:tc>
          <w:tcPr>
            <w:tcW w:w="492" w:type="dxa"/>
          </w:tcPr>
          <w:p w14:paraId="58FD871B" w14:textId="1FBC6AC6" w:rsidR="008D1BB1" w:rsidRDefault="008D1BB1" w:rsidP="00E46FFC">
            <w:pPr>
              <w:rPr>
                <w:rFonts w:ascii="Calibri" w:eastAsia="Calibri" w:hAnsi="Calibri" w:cs="Times New Roman"/>
              </w:rPr>
            </w:pPr>
            <m:oMathPara>
              <m:oMath>
                <m:r>
                  <w:rPr>
                    <w:rFonts w:ascii="Cambria Math" w:eastAsia="Calibri" w:hAnsi="Cambria Math" w:cs="Times New Roman"/>
                  </w:rPr>
                  <m:t>0</m:t>
                </m:r>
              </m:oMath>
            </m:oMathPara>
          </w:p>
        </w:tc>
      </w:tr>
    </w:tbl>
    <w:p w14:paraId="45A4BD98" w14:textId="6FBDC9DF" w:rsidR="008D1BB1" w:rsidRDefault="008D1BB1" w:rsidP="00330F21">
      <w:r>
        <w:t>Bitove parnosti po pravilu određujemo:</w:t>
      </w:r>
    </w:p>
    <w:p w14:paraId="69DC13A6" w14:textId="3D75E0A0" w:rsidR="0089466F" w:rsidRPr="0089466F" w:rsidRDefault="0089466F" w:rsidP="00330F21">
      <w:pPr>
        <w:rPr>
          <w:rFonts w:eastAsiaTheme="minorEastAsia"/>
        </w:rPr>
      </w:pPr>
      <m:oMathPara>
        <m:oMathParaPr>
          <m:jc m:val="left"/>
        </m:oMathParaPr>
        <m:oMath>
          <m:r>
            <w:rPr>
              <w:rFonts w:ascii="Cambria Math" w:eastAsiaTheme="minorEastAsia" w:hAnsi="Cambria Math"/>
            </w:rPr>
            <m:t>p1=0 (1,1,0</m:t>
          </m:r>
          <m:r>
            <w:rPr>
              <w:rFonts w:ascii="Cambria Math" w:eastAsiaTheme="minorEastAsia" w:hAnsi="Cambria Math"/>
            </w:rPr>
            <m:t>)</m:t>
          </m:r>
        </m:oMath>
      </m:oMathPara>
    </w:p>
    <w:p w14:paraId="2B36E621" w14:textId="5DE951E7" w:rsidR="0089466F" w:rsidRPr="0089466F" w:rsidRDefault="0089466F" w:rsidP="00330F21">
      <w:pPr>
        <w:rPr>
          <w:rFonts w:eastAsiaTheme="minorEastAsia"/>
        </w:rPr>
      </w:pPr>
      <m:oMathPara>
        <m:oMathParaPr>
          <m:jc m:val="left"/>
        </m:oMathParaPr>
        <m:oMath>
          <m:r>
            <w:rPr>
              <w:rFonts w:ascii="Cambria Math" w:eastAsiaTheme="minorEastAsia" w:hAnsi="Cambria Math"/>
            </w:rPr>
            <m:t>p2=1 (1,0,0</m:t>
          </m:r>
          <m:r>
            <w:rPr>
              <w:rFonts w:ascii="Cambria Math" w:eastAsiaTheme="minorEastAsia" w:hAnsi="Cambria Math"/>
            </w:rPr>
            <m:t>)</m:t>
          </m:r>
        </m:oMath>
      </m:oMathPara>
    </w:p>
    <w:p w14:paraId="5AF7E3B5" w14:textId="3AC9896E" w:rsidR="0089466F" w:rsidRPr="008D1BB1" w:rsidRDefault="0089466F" w:rsidP="00330F21">
      <w:pPr>
        <w:rPr>
          <w:rFonts w:eastAsiaTheme="minorEastAsia"/>
        </w:rPr>
      </w:pPr>
      <m:oMathPara>
        <m:oMathParaPr>
          <m:jc m:val="left"/>
        </m:oMathParaPr>
        <m:oMath>
          <m:r>
            <w:rPr>
              <w:rFonts w:ascii="Cambria Math" w:eastAsiaTheme="minorEastAsia" w:hAnsi="Cambria Math"/>
            </w:rPr>
            <m:t>p4=0 (1,0,1</m:t>
          </m:r>
          <m:r>
            <w:rPr>
              <w:rFonts w:ascii="Cambria Math" w:eastAsiaTheme="minorEastAsia" w:hAnsi="Cambria Math"/>
            </w:rPr>
            <m:t>)</m:t>
          </m:r>
        </m:oMath>
      </m:oMathPara>
    </w:p>
    <w:p w14:paraId="769F957D" w14:textId="7F61A7B7" w:rsidR="008D1BB1" w:rsidRDefault="008D1BB1" w:rsidP="008D1BB1">
      <w:pPr>
        <w:rPr>
          <w:rFonts w:eastAsiaTheme="minorEastAsia"/>
        </w:rPr>
      </w:pPr>
      <w:r>
        <w:rPr>
          <w:rFonts w:eastAsiaTheme="minorEastAsia"/>
        </w:rPr>
        <w:t>K</w:t>
      </w:r>
      <w:r>
        <w:rPr>
          <w:rFonts w:eastAsiaTheme="minorEastAsia"/>
        </w:rPr>
        <w:t>odiran</w:t>
      </w:r>
      <w:r>
        <w:rPr>
          <w:rFonts w:eastAsiaTheme="minorEastAsia"/>
        </w:rPr>
        <w:t>a</w:t>
      </w:r>
      <w:r>
        <w:rPr>
          <w:rFonts w:eastAsiaTheme="minorEastAsia"/>
        </w:rPr>
        <w:t xml:space="preserve"> sekvenc</w:t>
      </w:r>
      <w:r w:rsidR="00691008">
        <w:rPr>
          <w:rFonts w:eastAsiaTheme="minorEastAsia"/>
        </w:rPr>
        <w:t xml:space="preserve">a </w:t>
      </w:r>
      <w:r>
        <w:rPr>
          <w:rFonts w:eastAsiaTheme="minorEastAsia"/>
        </w:rPr>
        <w:t>je tada oblika</w:t>
      </w:r>
      <w:r>
        <w:rPr>
          <w:rFonts w:eastAsiaTheme="minorEastAsia"/>
        </w:rPr>
        <w:t>:</w:t>
      </w:r>
    </w:p>
    <w:tbl>
      <w:tblPr>
        <w:tblW w:w="0" w:type="auto"/>
        <w:tblInd w:w="12" w:type="dxa"/>
        <w:tblLook w:val="0000" w:firstRow="0" w:lastRow="0" w:firstColumn="0" w:lastColumn="0" w:noHBand="0" w:noVBand="0"/>
      </w:tblPr>
      <w:tblGrid>
        <w:gridCol w:w="492"/>
        <w:gridCol w:w="492"/>
        <w:gridCol w:w="492"/>
        <w:gridCol w:w="492"/>
        <w:gridCol w:w="492"/>
        <w:gridCol w:w="492"/>
        <w:gridCol w:w="492"/>
      </w:tblGrid>
      <w:tr w:rsidR="008D1BB1" w14:paraId="4D7255BF" w14:textId="77777777" w:rsidTr="00E46FFC">
        <w:tblPrEx>
          <w:tblCellMar>
            <w:top w:w="0" w:type="dxa"/>
            <w:bottom w:w="0" w:type="dxa"/>
          </w:tblCellMar>
        </w:tblPrEx>
        <w:trPr>
          <w:trHeight w:val="107"/>
        </w:trPr>
        <w:tc>
          <w:tcPr>
            <w:tcW w:w="492" w:type="dxa"/>
          </w:tcPr>
          <w:p w14:paraId="6336DE42" w14:textId="77777777" w:rsidR="008D1BB1" w:rsidRDefault="008D1BB1" w:rsidP="00E46FFC">
            <m:oMathPara>
              <m:oMath>
                <m:r>
                  <w:rPr>
                    <w:rFonts w:ascii="Cambria Math" w:hAnsi="Cambria Math"/>
                  </w:rPr>
                  <m:t>1</m:t>
                </m:r>
              </m:oMath>
            </m:oMathPara>
          </w:p>
        </w:tc>
        <w:tc>
          <w:tcPr>
            <w:tcW w:w="492" w:type="dxa"/>
          </w:tcPr>
          <w:p w14:paraId="4AF981F0" w14:textId="77777777" w:rsidR="008D1BB1" w:rsidRPr="00DF1E54" w:rsidRDefault="008D1BB1" w:rsidP="00E46FFC">
            <w:pPr>
              <w:rPr>
                <w:i/>
                <w:iCs/>
              </w:rPr>
            </w:pPr>
            <m:oMathPara>
              <m:oMath>
                <m:r>
                  <w:rPr>
                    <w:rFonts w:ascii="Cambria Math" w:hAnsi="Cambria Math"/>
                  </w:rPr>
                  <m:t>0</m:t>
                </m:r>
              </m:oMath>
            </m:oMathPara>
          </w:p>
        </w:tc>
        <w:tc>
          <w:tcPr>
            <w:tcW w:w="492" w:type="dxa"/>
          </w:tcPr>
          <w:p w14:paraId="60FAA69B" w14:textId="77777777" w:rsidR="008D1BB1" w:rsidRDefault="008D1BB1" w:rsidP="00E46FFC">
            <m:oMathPara>
              <m:oMath>
                <m:r>
                  <w:rPr>
                    <w:rFonts w:ascii="Cambria Math" w:hAnsi="Cambria Math"/>
                  </w:rPr>
                  <m:t>1</m:t>
                </m:r>
              </m:oMath>
            </m:oMathPara>
          </w:p>
        </w:tc>
        <w:tc>
          <w:tcPr>
            <w:tcW w:w="492" w:type="dxa"/>
          </w:tcPr>
          <w:p w14:paraId="0AD68106" w14:textId="77777777" w:rsidR="008D1BB1" w:rsidRDefault="008D1BB1" w:rsidP="00E46FFC">
            <m:oMathPara>
              <m:oMath>
                <m:r>
                  <w:rPr>
                    <w:rFonts w:ascii="Cambria Math" w:hAnsi="Cambria Math"/>
                  </w:rPr>
                  <m:t>0</m:t>
                </m:r>
              </m:oMath>
            </m:oMathPara>
          </w:p>
        </w:tc>
        <w:tc>
          <w:tcPr>
            <w:tcW w:w="492" w:type="dxa"/>
          </w:tcPr>
          <w:p w14:paraId="62206831" w14:textId="77777777" w:rsidR="008D1BB1" w:rsidRDefault="008D1BB1" w:rsidP="00E46FFC">
            <m:oMathPara>
              <m:oMath>
                <m:r>
                  <w:rPr>
                    <w:rFonts w:ascii="Cambria Math" w:hAnsi="Cambria Math"/>
                  </w:rPr>
                  <m:t>0</m:t>
                </m:r>
              </m:oMath>
            </m:oMathPara>
          </w:p>
        </w:tc>
        <w:tc>
          <w:tcPr>
            <w:tcW w:w="492" w:type="dxa"/>
          </w:tcPr>
          <w:p w14:paraId="104A15AB" w14:textId="77777777" w:rsidR="008D1BB1" w:rsidRDefault="008D1BB1" w:rsidP="00E46FFC">
            <m:oMathPara>
              <m:oMath>
                <m:r>
                  <w:rPr>
                    <w:rFonts w:ascii="Cambria Math" w:hAnsi="Cambria Math"/>
                  </w:rPr>
                  <m:t>1</m:t>
                </m:r>
              </m:oMath>
            </m:oMathPara>
          </w:p>
        </w:tc>
        <w:tc>
          <w:tcPr>
            <w:tcW w:w="492" w:type="dxa"/>
          </w:tcPr>
          <w:p w14:paraId="052DE9E3" w14:textId="77777777" w:rsidR="008D1BB1" w:rsidRDefault="008D1BB1" w:rsidP="00E46FFC">
            <m:oMathPara>
              <m:oMath>
                <m:r>
                  <w:rPr>
                    <w:rFonts w:ascii="Cambria Math" w:hAnsi="Cambria Math"/>
                  </w:rPr>
                  <m:t>0</m:t>
                </m:r>
              </m:oMath>
            </m:oMathPara>
          </w:p>
        </w:tc>
      </w:tr>
    </w:tbl>
    <w:p w14:paraId="2002665A" w14:textId="07CEB538" w:rsidR="0089466F" w:rsidRDefault="00AF1751" w:rsidP="00CB38BB">
      <w:pPr>
        <w:jc w:val="both"/>
        <w:rPr>
          <w:rFonts w:eastAsiaTheme="minorEastAsia"/>
        </w:rPr>
      </w:pPr>
      <w:r>
        <w:t>Tako formirana sekvenca se šalje prijemniku</w:t>
      </w:r>
      <w:r w:rsidR="0089466F">
        <w:t>.</w:t>
      </w:r>
      <w:r w:rsidR="00F46CAA">
        <w:t xml:space="preserve"> Na putu do prijemnika je moguća je pojava greške.</w:t>
      </w:r>
      <w:r w:rsidR="0089466F">
        <w:t xml:space="preserve"> U našem konkretnom primeru pretpostavićemo da je došlo do greške na bitu </w:t>
      </w:r>
      <m:oMath>
        <m:r>
          <w:rPr>
            <w:rFonts w:ascii="Cambria Math" w:hAnsi="Cambria Math"/>
          </w:rPr>
          <m:t>d6</m:t>
        </m:r>
      </m:oMath>
      <w:r w:rsidR="0089466F">
        <w:rPr>
          <w:rFonts w:eastAsiaTheme="minorEastAsia"/>
        </w:rPr>
        <w:t>:</w:t>
      </w:r>
    </w:p>
    <w:tbl>
      <w:tblPr>
        <w:tblW w:w="0" w:type="auto"/>
        <w:tblInd w:w="12" w:type="dxa"/>
        <w:tblLook w:val="0000" w:firstRow="0" w:lastRow="0" w:firstColumn="0" w:lastColumn="0" w:noHBand="0" w:noVBand="0"/>
      </w:tblPr>
      <w:tblGrid>
        <w:gridCol w:w="492"/>
        <w:gridCol w:w="492"/>
        <w:gridCol w:w="492"/>
        <w:gridCol w:w="492"/>
        <w:gridCol w:w="492"/>
        <w:gridCol w:w="492"/>
        <w:gridCol w:w="492"/>
      </w:tblGrid>
      <w:tr w:rsidR="0089466F" w14:paraId="7FF8F92B" w14:textId="77777777" w:rsidTr="00CB38BB">
        <w:tblPrEx>
          <w:tblCellMar>
            <w:top w:w="0" w:type="dxa"/>
            <w:bottom w:w="0" w:type="dxa"/>
          </w:tblCellMar>
        </w:tblPrEx>
        <w:trPr>
          <w:trHeight w:val="107"/>
        </w:trPr>
        <w:tc>
          <w:tcPr>
            <w:tcW w:w="492" w:type="dxa"/>
          </w:tcPr>
          <w:p w14:paraId="171D44D8" w14:textId="77777777" w:rsidR="0089466F" w:rsidRDefault="0089466F" w:rsidP="00E46FFC">
            <m:oMathPara>
              <m:oMath>
                <m:r>
                  <w:rPr>
                    <w:rFonts w:ascii="Cambria Math" w:hAnsi="Cambria Math"/>
                  </w:rPr>
                  <w:lastRenderedPageBreak/>
                  <m:t>1</m:t>
                </m:r>
              </m:oMath>
            </m:oMathPara>
          </w:p>
        </w:tc>
        <w:tc>
          <w:tcPr>
            <w:tcW w:w="492" w:type="dxa"/>
            <w:shd w:val="clear" w:color="auto" w:fill="C5E0B3" w:themeFill="accent6" w:themeFillTint="66"/>
          </w:tcPr>
          <w:p w14:paraId="58E6C425" w14:textId="77777777" w:rsidR="0089466F" w:rsidRPr="00166811" w:rsidRDefault="0089466F" w:rsidP="00E46FFC">
            <w:pPr>
              <w:rPr>
                <w:highlight w:val="green"/>
              </w:rPr>
            </w:pPr>
            <w:r w:rsidRPr="00166811">
              <w:t>1</w:t>
            </w:r>
          </w:p>
        </w:tc>
        <w:tc>
          <w:tcPr>
            <w:tcW w:w="492" w:type="dxa"/>
          </w:tcPr>
          <w:p w14:paraId="27FFA9B1" w14:textId="77777777" w:rsidR="0089466F" w:rsidRDefault="0089466F" w:rsidP="00E46FFC">
            <m:oMathPara>
              <m:oMath>
                <m:r>
                  <w:rPr>
                    <w:rFonts w:ascii="Cambria Math" w:hAnsi="Cambria Math"/>
                  </w:rPr>
                  <m:t>1</m:t>
                </m:r>
              </m:oMath>
            </m:oMathPara>
          </w:p>
        </w:tc>
        <w:tc>
          <w:tcPr>
            <w:tcW w:w="492" w:type="dxa"/>
          </w:tcPr>
          <w:p w14:paraId="161DB482" w14:textId="77777777" w:rsidR="0089466F" w:rsidRDefault="0089466F" w:rsidP="00E46FFC">
            <m:oMathPara>
              <m:oMath>
                <m:r>
                  <w:rPr>
                    <w:rFonts w:ascii="Cambria Math" w:hAnsi="Cambria Math"/>
                  </w:rPr>
                  <m:t>0</m:t>
                </m:r>
              </m:oMath>
            </m:oMathPara>
          </w:p>
        </w:tc>
        <w:tc>
          <w:tcPr>
            <w:tcW w:w="492" w:type="dxa"/>
          </w:tcPr>
          <w:p w14:paraId="0CA2A477" w14:textId="77777777" w:rsidR="0089466F" w:rsidRDefault="0089466F" w:rsidP="00E46FFC">
            <m:oMathPara>
              <m:oMath>
                <m:r>
                  <w:rPr>
                    <w:rFonts w:ascii="Cambria Math" w:hAnsi="Cambria Math"/>
                  </w:rPr>
                  <m:t>0</m:t>
                </m:r>
              </m:oMath>
            </m:oMathPara>
          </w:p>
        </w:tc>
        <w:tc>
          <w:tcPr>
            <w:tcW w:w="492" w:type="dxa"/>
          </w:tcPr>
          <w:p w14:paraId="568C1669" w14:textId="77777777" w:rsidR="0089466F" w:rsidRDefault="0089466F" w:rsidP="00E46FFC">
            <m:oMathPara>
              <m:oMath>
                <m:r>
                  <w:rPr>
                    <w:rFonts w:ascii="Cambria Math" w:hAnsi="Cambria Math"/>
                  </w:rPr>
                  <m:t>1</m:t>
                </m:r>
              </m:oMath>
            </m:oMathPara>
          </w:p>
        </w:tc>
        <w:tc>
          <w:tcPr>
            <w:tcW w:w="492" w:type="dxa"/>
          </w:tcPr>
          <w:p w14:paraId="5744A84A" w14:textId="77777777" w:rsidR="0089466F" w:rsidRDefault="0089466F" w:rsidP="00E46FFC">
            <m:oMathPara>
              <m:oMath>
                <m:r>
                  <w:rPr>
                    <w:rFonts w:ascii="Cambria Math" w:hAnsi="Cambria Math"/>
                  </w:rPr>
                  <m:t>0</m:t>
                </m:r>
              </m:oMath>
            </m:oMathPara>
          </w:p>
        </w:tc>
      </w:tr>
    </w:tbl>
    <w:p w14:paraId="0B2BD7A8" w14:textId="7120F366" w:rsidR="00166811" w:rsidRPr="008D1BB1" w:rsidRDefault="0089466F" w:rsidP="00CB38BB">
      <w:pPr>
        <w:jc w:val="both"/>
      </w:pPr>
      <w:r>
        <w:t>R</w:t>
      </w:r>
      <w:r w:rsidR="00AF1751">
        <w:t xml:space="preserve">adi utvrđivanja greške </w:t>
      </w:r>
      <w:r w:rsidR="008D075F">
        <w:t>posmatramo</w:t>
      </w:r>
      <w:r w:rsidR="00AF1751">
        <w:t xml:space="preserve"> bitov</w:t>
      </w:r>
      <w:r w:rsidR="008D075F">
        <w:t>e</w:t>
      </w:r>
      <w:r w:rsidR="00AF1751">
        <w:t xml:space="preserve"> parnosti</w:t>
      </w:r>
      <w:r>
        <w:t xml:space="preserve"> i nj</w:t>
      </w:r>
      <w:r w:rsidR="00691008">
        <w:t>ima</w:t>
      </w:r>
      <w:r>
        <w:t xml:space="preserve"> dodeljen</w:t>
      </w:r>
      <w:r w:rsidR="008D075F">
        <w:t>e</w:t>
      </w:r>
      <w:r>
        <w:t xml:space="preserve"> bitov</w:t>
      </w:r>
      <w:r w:rsidR="008D075F">
        <w:t>e</w:t>
      </w:r>
      <w:r>
        <w:t xml:space="preserve"> poruke</w:t>
      </w:r>
      <w:r w:rsidR="00AF1751">
        <w:t>.</w:t>
      </w:r>
      <w:r>
        <w:t xml:space="preserve"> Ukoliko je broj jedinica na bitu parnosti i njemu dodeljenim bitovima </w:t>
      </w:r>
      <w:r w:rsidR="00AF1751">
        <w:t>je neparan</w:t>
      </w:r>
      <w:r>
        <w:t xml:space="preserve"> </w:t>
      </w:r>
      <w:r w:rsidR="00AF1751">
        <w:t>došlo je do greške</w:t>
      </w:r>
      <w:r w:rsidR="00F46CAA">
        <w:t>. Greška može biti</w:t>
      </w:r>
      <w:r w:rsidR="00AF1751">
        <w:t xml:space="preserve"> na nekom od bitova za koje je </w:t>
      </w:r>
      <w:r>
        <w:t>bit parnosti</w:t>
      </w:r>
      <w:r w:rsidR="00AF1751">
        <w:t xml:space="preserve"> zadužen ili na samom bitu parnosti. Svakom</w:t>
      </w:r>
      <w:r>
        <w:t xml:space="preserve"> </w:t>
      </w:r>
      <w:r w:rsidR="00AF1751">
        <w:t>bitu</w:t>
      </w:r>
      <w:r>
        <w:t xml:space="preserve"> parnosti</w:t>
      </w:r>
      <w:r w:rsidR="00AF1751">
        <w:t xml:space="preserve"> na kojem je utvrđena nepravilnost dodeljuje se vrednost 1.</w:t>
      </w:r>
    </w:p>
    <w:p w14:paraId="28E0B20E" w14:textId="441F988B" w:rsidR="00166811" w:rsidRPr="00166811" w:rsidRDefault="00166811" w:rsidP="00330F21">
      <w:pPr>
        <w:rPr>
          <w:rFonts w:eastAsiaTheme="minorEastAsia"/>
        </w:rPr>
      </w:pPr>
      <m:oMathPara>
        <m:oMathParaPr>
          <m:jc m:val="left"/>
        </m:oMathParaPr>
        <m:oMath>
          <m:r>
            <w:rPr>
              <w:rFonts w:ascii="Cambria Math" w:eastAsiaTheme="minorEastAsia" w:hAnsi="Cambria Math"/>
            </w:rPr>
            <m:t>p1=0 (1,1,0</m:t>
          </m:r>
          <m:r>
            <w:rPr>
              <w:rFonts w:ascii="Cambria Math" w:eastAsiaTheme="minorEastAsia" w:hAnsi="Cambria Math"/>
            </w:rPr>
            <m:t>)</m:t>
          </m:r>
        </m:oMath>
      </m:oMathPara>
    </w:p>
    <w:p w14:paraId="2D7479EA" w14:textId="3169AC56" w:rsidR="00166811" w:rsidRPr="00166811" w:rsidRDefault="00166811" w:rsidP="00330F21">
      <w:pPr>
        <w:rPr>
          <w:rFonts w:eastAsiaTheme="minorEastAsia"/>
        </w:rPr>
      </w:pPr>
      <m:oMathPara>
        <m:oMathParaPr>
          <m:jc m:val="left"/>
        </m:oMathParaPr>
        <m:oMath>
          <m:r>
            <w:rPr>
              <w:rFonts w:ascii="Cambria Math" w:eastAsiaTheme="minorEastAsia" w:hAnsi="Cambria Math"/>
            </w:rPr>
            <m:t>p2=1 (1,</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oMath>
      </m:oMathPara>
    </w:p>
    <w:p w14:paraId="67DEFE25" w14:textId="2BFCF344" w:rsidR="00166811" w:rsidRPr="00166811" w:rsidRDefault="00166811" w:rsidP="00166811">
      <w:pPr>
        <w:rPr>
          <w:rFonts w:eastAsiaTheme="minorEastAsia"/>
        </w:rPr>
      </w:pPr>
      <m:oMathPara>
        <m:oMathParaPr>
          <m:jc m:val="left"/>
        </m:oMathParaPr>
        <m:oMath>
          <m:r>
            <w:rPr>
              <w:rFonts w:ascii="Cambria Math" w:eastAsiaTheme="minorEastAsia" w:hAnsi="Cambria Math"/>
            </w:rPr>
            <m:t>p4=</m:t>
          </m:r>
          <m:r>
            <w:rPr>
              <w:rFonts w:ascii="Cambria Math" w:eastAsiaTheme="minorEastAsia" w:hAnsi="Cambria Math"/>
            </w:rPr>
            <m:t>1</m:t>
          </m:r>
          <m:r>
            <w:rPr>
              <w:rFonts w:ascii="Cambria Math" w:eastAsiaTheme="minorEastAsia" w:hAnsi="Cambria Math"/>
            </w:rPr>
            <m:t xml:space="preserve"> (1,</m:t>
          </m:r>
          <m:r>
            <w:rPr>
              <w:rFonts w:ascii="Cambria Math" w:eastAsiaTheme="minorEastAsia" w:hAnsi="Cambria Math"/>
            </w:rPr>
            <m:t>1</m:t>
          </m:r>
          <m:r>
            <w:rPr>
              <w:rFonts w:ascii="Cambria Math" w:eastAsiaTheme="minorEastAsia" w:hAnsi="Cambria Math"/>
            </w:rPr>
            <m:t>,1)</m:t>
          </m:r>
        </m:oMath>
      </m:oMathPara>
    </w:p>
    <w:p w14:paraId="220D4A20" w14:textId="6F7F5F10" w:rsidR="00166811" w:rsidRPr="00DF1E54" w:rsidRDefault="00166811" w:rsidP="00166811">
      <w:pPr>
        <w:rPr>
          <w:rFonts w:eastAsiaTheme="minorEastAsia"/>
        </w:rPr>
      </w:pPr>
      <w:r>
        <w:rPr>
          <w:rFonts w:eastAsiaTheme="minorEastAsia"/>
        </w:rPr>
        <w:t>Binarna pozicija bita sa greškom dobija se kao kombinacija bita parnosti na sledeći način:</w:t>
      </w:r>
    </w:p>
    <w:tbl>
      <w:tblPr>
        <w:tblW w:w="0" w:type="auto"/>
        <w:tblInd w:w="55" w:type="dxa"/>
        <w:tblLook w:val="0000" w:firstRow="0" w:lastRow="0" w:firstColumn="0" w:lastColumn="0" w:noHBand="0" w:noVBand="0"/>
      </w:tblPr>
      <w:tblGrid>
        <w:gridCol w:w="461"/>
        <w:gridCol w:w="461"/>
        <w:gridCol w:w="461"/>
      </w:tblGrid>
      <w:tr w:rsidR="00166811" w14:paraId="05755DF6" w14:textId="08C67DA8" w:rsidTr="00F46CAA">
        <w:tblPrEx>
          <w:tblCellMar>
            <w:top w:w="0" w:type="dxa"/>
            <w:bottom w:w="0" w:type="dxa"/>
          </w:tblCellMar>
        </w:tblPrEx>
        <w:trPr>
          <w:trHeight w:val="468"/>
        </w:trPr>
        <w:tc>
          <w:tcPr>
            <w:tcW w:w="456" w:type="dxa"/>
          </w:tcPr>
          <w:p w14:paraId="1DF61AF8" w14:textId="6312F73C" w:rsidR="00166811" w:rsidRDefault="00166811" w:rsidP="00330F21">
            <w:pPr>
              <w:rPr>
                <w:rFonts w:eastAsiaTheme="minorEastAsia"/>
              </w:rPr>
            </w:pPr>
            <m:oMathPara>
              <m:oMath>
                <m:r>
                  <w:rPr>
                    <w:rFonts w:ascii="Cambria Math" w:eastAsiaTheme="minorEastAsia" w:hAnsi="Cambria Math"/>
                  </w:rPr>
                  <m:t>p4</m:t>
                </m:r>
              </m:oMath>
            </m:oMathPara>
          </w:p>
        </w:tc>
        <w:tc>
          <w:tcPr>
            <w:tcW w:w="456" w:type="dxa"/>
          </w:tcPr>
          <w:p w14:paraId="4A417B5A" w14:textId="48CB343E" w:rsidR="00166811" w:rsidRDefault="00166811" w:rsidP="00330F21">
            <w:pPr>
              <w:rPr>
                <w:rFonts w:eastAsiaTheme="minorEastAsia"/>
              </w:rPr>
            </w:pPr>
            <m:oMathPara>
              <m:oMath>
                <m:r>
                  <w:rPr>
                    <w:rFonts w:ascii="Cambria Math" w:eastAsiaTheme="minorEastAsia" w:hAnsi="Cambria Math"/>
                  </w:rPr>
                  <m:t>p2</m:t>
                </m:r>
              </m:oMath>
            </m:oMathPara>
          </w:p>
        </w:tc>
        <w:tc>
          <w:tcPr>
            <w:tcW w:w="456" w:type="dxa"/>
          </w:tcPr>
          <w:p w14:paraId="41CF4756" w14:textId="0A86D7BB" w:rsidR="00166811" w:rsidRDefault="00166811" w:rsidP="00330F21">
            <w:pPr>
              <w:rPr>
                <w:rFonts w:eastAsiaTheme="minorEastAsia"/>
              </w:rPr>
            </w:pPr>
            <m:oMathPara>
              <m:oMath>
                <m:r>
                  <w:rPr>
                    <w:rFonts w:ascii="Cambria Math" w:eastAsiaTheme="minorEastAsia" w:hAnsi="Cambria Math"/>
                  </w:rPr>
                  <m:t>p1</m:t>
                </m:r>
              </m:oMath>
            </m:oMathPara>
          </w:p>
        </w:tc>
      </w:tr>
    </w:tbl>
    <w:p w14:paraId="0A56E94E" w14:textId="5BAF5DEA" w:rsidR="00F46CAA" w:rsidRDefault="00F46CAA" w:rsidP="00330F21">
      <w:r>
        <w:t>U našem konkretnom slučaju:</w:t>
      </w:r>
    </w:p>
    <w:tbl>
      <w:tblPr>
        <w:tblW w:w="0" w:type="auto"/>
        <w:tblInd w:w="55" w:type="dxa"/>
        <w:tblLook w:val="0000" w:firstRow="0" w:lastRow="0" w:firstColumn="0" w:lastColumn="0" w:noHBand="0" w:noVBand="0"/>
      </w:tblPr>
      <w:tblGrid>
        <w:gridCol w:w="456"/>
        <w:gridCol w:w="456"/>
        <w:gridCol w:w="456"/>
      </w:tblGrid>
      <w:tr w:rsidR="00F46CAA" w14:paraId="456B8CE6" w14:textId="77777777" w:rsidTr="00E46FFC">
        <w:tblPrEx>
          <w:tblCellMar>
            <w:top w:w="0" w:type="dxa"/>
            <w:bottom w:w="0" w:type="dxa"/>
          </w:tblCellMar>
        </w:tblPrEx>
        <w:trPr>
          <w:trHeight w:val="468"/>
        </w:trPr>
        <w:tc>
          <w:tcPr>
            <w:tcW w:w="456" w:type="dxa"/>
          </w:tcPr>
          <w:p w14:paraId="4340FEEC" w14:textId="77777777" w:rsidR="00F46CAA" w:rsidRDefault="00F46CAA" w:rsidP="00E46FFC">
            <w:pPr>
              <w:rPr>
                <w:rFonts w:eastAsiaTheme="minorEastAsia"/>
              </w:rPr>
            </w:pPr>
            <m:oMathPara>
              <m:oMath>
                <m:r>
                  <w:rPr>
                    <w:rFonts w:ascii="Cambria Math" w:eastAsiaTheme="minorEastAsia" w:hAnsi="Cambria Math"/>
                  </w:rPr>
                  <m:t>1</m:t>
                </m:r>
              </m:oMath>
            </m:oMathPara>
          </w:p>
        </w:tc>
        <w:tc>
          <w:tcPr>
            <w:tcW w:w="456" w:type="dxa"/>
          </w:tcPr>
          <w:p w14:paraId="2F80764F" w14:textId="77777777" w:rsidR="00F46CAA" w:rsidRDefault="00F46CAA" w:rsidP="00E46FFC">
            <w:pPr>
              <w:rPr>
                <w:rFonts w:eastAsiaTheme="minorEastAsia"/>
              </w:rPr>
            </w:pPr>
            <m:oMathPara>
              <m:oMath>
                <m:r>
                  <w:rPr>
                    <w:rFonts w:ascii="Cambria Math" w:eastAsiaTheme="minorEastAsia" w:hAnsi="Cambria Math"/>
                  </w:rPr>
                  <m:t>1</m:t>
                </m:r>
              </m:oMath>
            </m:oMathPara>
          </w:p>
        </w:tc>
        <w:tc>
          <w:tcPr>
            <w:tcW w:w="456" w:type="dxa"/>
          </w:tcPr>
          <w:p w14:paraId="6E476E9E" w14:textId="77777777" w:rsidR="00F46CAA" w:rsidRDefault="00F46CAA" w:rsidP="00E46FFC">
            <w:pPr>
              <w:rPr>
                <w:rFonts w:eastAsiaTheme="minorEastAsia"/>
              </w:rPr>
            </w:pPr>
            <m:oMathPara>
              <m:oMath>
                <m:r>
                  <w:rPr>
                    <w:rFonts w:ascii="Cambria Math" w:eastAsiaTheme="minorEastAsia" w:hAnsi="Cambria Math"/>
                  </w:rPr>
                  <m:t>0</m:t>
                </m:r>
              </m:oMath>
            </m:oMathPara>
          </w:p>
        </w:tc>
      </w:tr>
    </w:tbl>
    <w:p w14:paraId="1C1D641D" w14:textId="14E455C5" w:rsidR="00166811" w:rsidRDefault="00F46CAA" w:rsidP="00CB38BB">
      <w:pPr>
        <w:jc w:val="both"/>
      </w:pPr>
      <w:r>
        <w:t>Na taj način</w:t>
      </w:r>
      <w:r w:rsidR="00EB27A0">
        <w:t xml:space="preserve"> utvrđujemo da je pozicija bita sa greškom</w:t>
      </w:r>
      <w:r w:rsidR="009D5409">
        <w:t xml:space="preserve"> u našem primeru</w:t>
      </w:r>
      <w:r w:rsidR="00EB27A0">
        <w:t xml:space="preserve"> 6. </w:t>
      </w:r>
    </w:p>
    <w:p w14:paraId="56447C98" w14:textId="76A7693E" w:rsidR="009D5409" w:rsidRDefault="009D5409" w:rsidP="00CB38BB">
      <w:pPr>
        <w:jc w:val="both"/>
      </w:pPr>
      <w:r>
        <w:t xml:space="preserve">U simulaciji smo </w:t>
      </w:r>
      <w:proofErr w:type="spellStart"/>
      <w:r>
        <w:t>Hemingovo</w:t>
      </w:r>
      <w:proofErr w:type="spellEnd"/>
      <w:r>
        <w:t xml:space="preserve"> kodiranje primenili metodom matrica</w:t>
      </w:r>
      <w:r w:rsidR="00A81536">
        <w:t xml:space="preserve"> jer se takva implementacija činila najpogodnijom</w:t>
      </w:r>
      <w:r>
        <w:t>.</w:t>
      </w:r>
    </w:p>
    <w:p w14:paraId="433A4F91" w14:textId="0B49DDF3" w:rsidR="00EB27A0" w:rsidRDefault="00EB27A0" w:rsidP="00CB38BB">
      <w:pPr>
        <w:jc w:val="both"/>
      </w:pPr>
      <w:r>
        <w:t>Kodirana sekvenca dužine n se od originalne poruke</w:t>
      </w:r>
      <w:r w:rsidR="00F46CAA">
        <w:t xml:space="preserve"> dužine k</w:t>
      </w:r>
      <w:r>
        <w:t xml:space="preserve"> može dobiti</w:t>
      </w:r>
      <w:r w:rsidR="0064228D">
        <w:t xml:space="preserve"> množenjem</w:t>
      </w:r>
      <w:r w:rsidR="00944105">
        <w:t xml:space="preserve"> po modulu 2</w:t>
      </w:r>
      <w:r w:rsidR="0064228D">
        <w:t xml:space="preserve"> poruke dužine k generatorskom matricom</w:t>
      </w:r>
      <w:r w:rsidR="009D5409">
        <w:t xml:space="preserve"> </w:t>
      </w:r>
      <m:oMath>
        <m:r>
          <w:rPr>
            <w:rFonts w:ascii="Cambria Math" w:hAnsi="Cambria Math"/>
          </w:rPr>
          <m:t>G</m:t>
        </m:r>
      </m:oMath>
      <w:r w:rsidR="0064228D">
        <w:t>:</w:t>
      </w:r>
    </w:p>
    <w:p w14:paraId="0F73E1C0" w14:textId="74F68482" w:rsidR="00944105" w:rsidRPr="005B6DF3" w:rsidRDefault="00944105" w:rsidP="00330F21">
      <w:pPr>
        <w:rPr>
          <w:rFonts w:eastAsiaTheme="minorEastAsia"/>
        </w:rPr>
      </w:pPr>
      <m:oMathPara>
        <m:oMathParaPr>
          <m:jc m:val="left"/>
        </m:oMathParaPr>
        <m:oMath>
          <m:r>
            <w:rPr>
              <w:rFonts w:ascii="Cambria Math" w:hAnsi="Cambria Math"/>
            </w:rPr>
            <m:t>G=</m:t>
          </m:r>
          <m:d>
            <m:dPr>
              <m:begChr m:val="["/>
              <m:endChr m:val="]"/>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04674AD" w14:textId="49ACF9DF" w:rsidR="00944105" w:rsidRDefault="009D5409" w:rsidP="00CB38BB">
      <w:pPr>
        <w:jc w:val="both"/>
        <w:rPr>
          <w:rFonts w:eastAsiaTheme="minorEastAsia"/>
        </w:rPr>
      </w:pPr>
      <w:r>
        <w:rPr>
          <w:rFonts w:eastAsiaTheme="minorEastAsia"/>
        </w:rPr>
        <w:t>B</w:t>
      </w:r>
      <w:r w:rsidR="00944105">
        <w:rPr>
          <w:rFonts w:eastAsiaTheme="minorEastAsia"/>
        </w:rPr>
        <w:t>inarn</w:t>
      </w:r>
      <w:r>
        <w:rPr>
          <w:rFonts w:eastAsiaTheme="minorEastAsia"/>
        </w:rPr>
        <w:t>a</w:t>
      </w:r>
      <w:r w:rsidR="00944105">
        <w:rPr>
          <w:rFonts w:eastAsiaTheme="minorEastAsia"/>
        </w:rPr>
        <w:t xml:space="preserve"> pozicij</w:t>
      </w:r>
      <w:r>
        <w:rPr>
          <w:rFonts w:eastAsiaTheme="minorEastAsia"/>
        </w:rPr>
        <w:t>a</w:t>
      </w:r>
      <w:r w:rsidR="00944105">
        <w:rPr>
          <w:rFonts w:eastAsiaTheme="minorEastAsia"/>
        </w:rPr>
        <w:t xml:space="preserve"> bita sa greškom </w:t>
      </w:r>
      <w:r>
        <w:rPr>
          <w:rFonts w:eastAsiaTheme="minorEastAsia"/>
        </w:rPr>
        <w:t xml:space="preserve">se može dobiti </w:t>
      </w:r>
      <w:r w:rsidR="00944105">
        <w:rPr>
          <w:rFonts w:eastAsiaTheme="minorEastAsia"/>
        </w:rPr>
        <w:t>množ</w:t>
      </w:r>
      <w:r w:rsidR="005B6DF3">
        <w:rPr>
          <w:rFonts w:eastAsiaTheme="minorEastAsia"/>
        </w:rPr>
        <w:t xml:space="preserve">enjem po modulu 2 </w:t>
      </w:r>
      <w:r>
        <w:rPr>
          <w:rFonts w:eastAsiaTheme="minorEastAsia"/>
        </w:rPr>
        <w:t xml:space="preserve"> </w:t>
      </w:r>
      <w:r>
        <w:rPr>
          <w:rFonts w:eastAsiaTheme="minorEastAsia"/>
        </w:rPr>
        <w:t xml:space="preserve">kodirane sekvence </w:t>
      </w:r>
      <w:r w:rsidR="005B6DF3">
        <w:rPr>
          <w:rFonts w:eastAsiaTheme="minorEastAsia"/>
        </w:rPr>
        <w:t>matricom za proveru parnosti</w:t>
      </w:r>
      <w:r>
        <w:rPr>
          <w:rFonts w:eastAsiaTheme="minorEastAsia"/>
        </w:rPr>
        <w:t xml:space="preserve"> </w:t>
      </w:r>
      <m:oMath>
        <m:r>
          <w:rPr>
            <w:rFonts w:ascii="Cambria Math" w:eastAsiaTheme="minorEastAsia" w:hAnsi="Cambria Math"/>
          </w:rPr>
          <m:t>H</m:t>
        </m:r>
      </m:oMath>
      <w:r w:rsidR="005B6DF3">
        <w:rPr>
          <w:rFonts w:eastAsiaTheme="minorEastAsia"/>
        </w:rPr>
        <w:t>:</w:t>
      </w:r>
    </w:p>
    <w:p w14:paraId="18A637C8" w14:textId="6D4704BF" w:rsidR="005B6DF3" w:rsidRPr="005B6DF3" w:rsidRDefault="005B6DF3" w:rsidP="00330F21">
      <w:pPr>
        <w:rPr>
          <w:rFonts w:eastAsiaTheme="minorEastAsia"/>
        </w:rPr>
      </w:pPr>
      <m:oMathPara>
        <m:oMathParaPr>
          <m:jc m:val="left"/>
        </m:oMathParaP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55E59C3" w14:textId="05D34B70" w:rsidR="001F4311" w:rsidRDefault="001F4311" w:rsidP="008518A8"/>
    <w:p w14:paraId="1601BB9E" w14:textId="5B874B27" w:rsidR="00691008" w:rsidRDefault="00691008" w:rsidP="008518A8"/>
    <w:p w14:paraId="705AFE31" w14:textId="1E402823" w:rsidR="00691008" w:rsidRDefault="00691008" w:rsidP="008518A8"/>
    <w:p w14:paraId="1E50783F" w14:textId="77777777" w:rsidR="00D25EDE" w:rsidRDefault="00D25EDE" w:rsidP="008518A8"/>
    <w:p w14:paraId="79526484" w14:textId="462B9BAD" w:rsidR="001F4311" w:rsidRDefault="001F4311" w:rsidP="001F4311">
      <w:pPr>
        <w:pStyle w:val="Naslov2"/>
      </w:pPr>
      <w:proofErr w:type="spellStart"/>
      <w:r>
        <w:lastRenderedPageBreak/>
        <w:t>Interliving</w:t>
      </w:r>
      <w:proofErr w:type="spellEnd"/>
    </w:p>
    <w:p w14:paraId="12001504" w14:textId="2832F3C6" w:rsidR="001F4311" w:rsidRDefault="001F4311" w:rsidP="001F4311"/>
    <w:p w14:paraId="45BECB0C" w14:textId="5852890D" w:rsidR="001F4311" w:rsidRPr="001F4311" w:rsidRDefault="00BC7F2D" w:rsidP="00CB38BB">
      <w:pPr>
        <w:jc w:val="both"/>
      </w:pPr>
      <w:r>
        <w:t xml:space="preserve">Kodovi za korekciju greške koje smo malo pre opisali mogu da isprave jednu grešku, ili u slučaju </w:t>
      </w:r>
      <w:proofErr w:type="spellStart"/>
      <w:r>
        <w:t>repeticionih</w:t>
      </w:r>
      <w:proofErr w:type="spellEnd"/>
      <w:r>
        <w:t xml:space="preserve"> kodova, greške na do tri uzastopna bita. Međutim, u slučaju dužih nizova grešaka, neophodno je primeniti postupak </w:t>
      </w:r>
      <w:proofErr w:type="spellStart"/>
      <w:r>
        <w:t>interlivinga</w:t>
      </w:r>
      <w:proofErr w:type="spellEnd"/>
      <w:r>
        <w:t xml:space="preserve">. Ideja iza </w:t>
      </w:r>
      <w:proofErr w:type="spellStart"/>
      <w:r>
        <w:t>interlivinga</w:t>
      </w:r>
      <w:proofErr w:type="spellEnd"/>
      <w:r>
        <w:t xml:space="preserve"> je da se signal koji se prenosi podeli na reči. Umesto da sekvencijalno prenosimo reči tako što prenesemo sve bite jedne reči pre nego što pređemo na drugu reč, reči prenosimo u grupama od po I reči, tako što prvo prenesemo prve bite od svih I reči, zatim druge bite, itd. Kada prenesemo jednu grupu od I reči, prelazimo na sledeću grupu, dok ne prenesemo ceo signal. Efekat </w:t>
      </w:r>
      <w:proofErr w:type="spellStart"/>
      <w:r>
        <w:t>interlivinga</w:t>
      </w:r>
      <w:proofErr w:type="spellEnd"/>
      <w:r>
        <w:t xml:space="preserve"> je sledeći: Ako tokom prenosa neke grupe od I reči dođe do </w:t>
      </w:r>
      <w:proofErr w:type="spellStart"/>
      <w:r>
        <w:t>burst</w:t>
      </w:r>
      <w:proofErr w:type="spellEnd"/>
      <w:r>
        <w:t xml:space="preserve"> greške, umesto da ta greška bude skoncentrisana na jednoj reči, ona će biti raspodeljena na više reči tako da, ukoliko je dužina </w:t>
      </w:r>
      <w:proofErr w:type="spellStart"/>
      <w:r>
        <w:t>bursta</w:t>
      </w:r>
      <w:proofErr w:type="spellEnd"/>
      <w:r>
        <w:t xml:space="preserve"> manja od I, u svakoj reči postoji najviše jedan bit sa greškom, što će zaštitni kodovi biti u stanju da isprave. U slučaju </w:t>
      </w:r>
      <w:proofErr w:type="spellStart"/>
      <w:r>
        <w:t>repeticionih</w:t>
      </w:r>
      <w:proofErr w:type="spellEnd"/>
      <w:r>
        <w:t xml:space="preserve"> kodova reda 5 i 7, koji mogu da isprave dve, odnosno tri greške u jednoj reči, nakon primene </w:t>
      </w:r>
      <w:proofErr w:type="spellStart"/>
      <w:r>
        <w:t>interlivinga</w:t>
      </w:r>
      <w:proofErr w:type="spellEnd"/>
      <w:r>
        <w:t xml:space="preserve"> kodovi će moći da isprave </w:t>
      </w:r>
      <w:proofErr w:type="spellStart"/>
      <w:r w:rsidR="00C20C6B">
        <w:t>burst</w:t>
      </w:r>
      <w:proofErr w:type="spellEnd"/>
      <w:r w:rsidR="00C20C6B">
        <w:t xml:space="preserve"> greške dužine 2I odnosno 3I.</w:t>
      </w:r>
    </w:p>
    <w:p w14:paraId="527040E8" w14:textId="3776D50E" w:rsidR="008518A8" w:rsidRDefault="008518A8" w:rsidP="008518A8"/>
    <w:p w14:paraId="64D84C94" w14:textId="331886F4" w:rsidR="008518A8" w:rsidRDefault="008518A8" w:rsidP="008518A8">
      <w:pPr>
        <w:pStyle w:val="Naslov1"/>
      </w:pPr>
      <w:r>
        <w:t>Simulacija</w:t>
      </w:r>
    </w:p>
    <w:p w14:paraId="4EFE1A5A" w14:textId="0545D520" w:rsidR="008518A8" w:rsidRDefault="008518A8" w:rsidP="008518A8"/>
    <w:p w14:paraId="1A3A8B49" w14:textId="5182D536" w:rsidR="0026664A" w:rsidRDefault="008518A8" w:rsidP="00CB38BB">
      <w:pPr>
        <w:jc w:val="both"/>
      </w:pPr>
      <w:r>
        <w:t xml:space="preserve">Postupak simulacije prenosa signala je sledeći: prvo se generiše </w:t>
      </w:r>
      <w:r w:rsidR="00190A5C">
        <w:t xml:space="preserve">poruka dužine N = 10080 (kako bi bila moguća primena </w:t>
      </w:r>
      <w:proofErr w:type="spellStart"/>
      <w:r w:rsidR="00190A5C">
        <w:t>interlivinga</w:t>
      </w:r>
      <w:proofErr w:type="spellEnd"/>
      <w:r w:rsidR="00190A5C">
        <w:t xml:space="preserve"> na signal</w:t>
      </w:r>
      <w:r w:rsidR="007E5DCB">
        <w:t xml:space="preserve"> za sve slučajeve</w:t>
      </w:r>
      <w:r w:rsidR="00190A5C">
        <w:t xml:space="preserve">). Postoje dva izvora informacije: jedan čije su verovatnoće pojavljivanja bitova 0 i 1 jednake i iznose 0.5, i drugi čije su verovatnoće za ova dva bita 0.9 i 0.1. Entropije ova dva izvora su, redom, 1b i 0.48b. Nakon toga se vrši zaštitno kodiranje upotrebom svih 5 varijanti zaštitnih kodova: </w:t>
      </w:r>
      <w:proofErr w:type="spellStart"/>
      <w:r w:rsidR="00190A5C">
        <w:t>repeticioni</w:t>
      </w:r>
      <w:proofErr w:type="spellEnd"/>
      <w:r w:rsidR="00190A5C">
        <w:t xml:space="preserve"> kodovi reda 3, 5 i 7, kao i </w:t>
      </w:r>
      <w:proofErr w:type="spellStart"/>
      <w:r w:rsidR="00190A5C">
        <w:t>Hemingovi</w:t>
      </w:r>
      <w:proofErr w:type="spellEnd"/>
      <w:r w:rsidR="00190A5C">
        <w:t xml:space="preserve"> kodovi (7, 4) i (12, 8).</w:t>
      </w:r>
    </w:p>
    <w:p w14:paraId="3E80E889" w14:textId="77777777" w:rsidR="0026664A" w:rsidRDefault="0026664A" w:rsidP="00CB38BB">
      <w:pPr>
        <w:jc w:val="both"/>
      </w:pPr>
      <w:r>
        <w:t xml:space="preserve">Ako je neophodno, vrši se </w:t>
      </w:r>
      <w:proofErr w:type="spellStart"/>
      <w:r>
        <w:t>interliving</w:t>
      </w:r>
      <w:proofErr w:type="spellEnd"/>
      <w:r>
        <w:t>.</w:t>
      </w:r>
      <w:r w:rsidR="00190A5C">
        <w:t xml:space="preserve"> </w:t>
      </w:r>
      <w:r>
        <w:t xml:space="preserve">To se radi tako što se signal podeli na reči. U slučaju </w:t>
      </w:r>
      <w:proofErr w:type="spellStart"/>
      <w:r>
        <w:t>repeticionih</w:t>
      </w:r>
      <w:proofErr w:type="spellEnd"/>
      <w:r>
        <w:t xml:space="preserve"> kodova, dužina reči jednaka je redu zaštitnog koda, dok je u slučaju </w:t>
      </w:r>
      <w:proofErr w:type="spellStart"/>
      <w:r>
        <w:t>Hemingovih</w:t>
      </w:r>
      <w:proofErr w:type="spellEnd"/>
      <w:r>
        <w:t xml:space="preserve"> kodova dužina reči 7, odnosno 12 bitova. Grupe od po 5, 7 ili 9 reči se učitavaju u matricu po vrstama, a zatim se formira novi signal tako što se te matrice iščitavaju po kolonama.</w:t>
      </w:r>
    </w:p>
    <w:p w14:paraId="363CFE75" w14:textId="196716F6" w:rsidR="0026664A" w:rsidRDefault="00190A5C" w:rsidP="00CB38BB">
      <w:pPr>
        <w:jc w:val="both"/>
      </w:pPr>
      <w:r>
        <w:t>Zatim se simulira pojava greške prilikom prenosa</w:t>
      </w:r>
      <w:r w:rsidR="0026664A">
        <w:t xml:space="preserve">: u slučaju pojedinačnih grešaka vrši se prolazak kroz sekvencu signala, i ako je generisana vrednost u opsegu (0, 1) manja od verovatnoće greške, vrši se promena vrednosti bita. U slučaju </w:t>
      </w:r>
      <w:proofErr w:type="spellStart"/>
      <w:r w:rsidR="0026664A">
        <w:t>burst</w:t>
      </w:r>
      <w:proofErr w:type="spellEnd"/>
      <w:r w:rsidR="0026664A">
        <w:t xml:space="preserve"> greške, nasumično se biraju položaji početnih bitova </w:t>
      </w:r>
      <w:proofErr w:type="spellStart"/>
      <w:r w:rsidR="0026664A">
        <w:t>burst</w:t>
      </w:r>
      <w:proofErr w:type="spellEnd"/>
      <w:r w:rsidR="0026664A">
        <w:t xml:space="preserve"> grešaka. Ukoliko je nasumično izabran položaj koji bi doveo do preklapanja </w:t>
      </w:r>
      <w:proofErr w:type="spellStart"/>
      <w:r w:rsidR="0026664A">
        <w:t>burstova</w:t>
      </w:r>
      <w:proofErr w:type="spellEnd"/>
      <w:r w:rsidR="0026664A">
        <w:t xml:space="preserve">, bira se novi sve dok se ne pronađe odgovarajući. Nakon toga, niz koji sadrži položaje bitova sa greškom se dopunjava dodatnim bitovima koji se nalaze nakon početnog bita, tako da greška obuhvata niz bitova čija je dužina jednaka dužini </w:t>
      </w:r>
      <w:proofErr w:type="spellStart"/>
      <w:r w:rsidR="0026664A">
        <w:t>bursta</w:t>
      </w:r>
      <w:proofErr w:type="spellEnd"/>
      <w:r w:rsidR="0026664A">
        <w:t xml:space="preserve">. Na kraju se vrši promena vrednosti svih bitova koji se nalaze na položajima naznačenim u nizu položaja greške. Na posebnim početnim signalima, analiziraju se sledeći slučajevi: pojedinačna greška, </w:t>
      </w:r>
      <w:proofErr w:type="spellStart"/>
      <w:r w:rsidR="0026664A">
        <w:t>burst</w:t>
      </w:r>
      <w:proofErr w:type="spellEnd"/>
      <w:r w:rsidR="0026664A">
        <w:t xml:space="preserve"> greške dužine 4, 5, 8 i 10 bitova sa, redom, 10, 8, 5 i 4 </w:t>
      </w:r>
      <w:proofErr w:type="spellStart"/>
      <w:r w:rsidR="0026664A">
        <w:t>burstova</w:t>
      </w:r>
      <w:proofErr w:type="spellEnd"/>
      <w:r w:rsidR="0026664A">
        <w:t xml:space="preserve">, sa upotrebom </w:t>
      </w:r>
      <w:proofErr w:type="spellStart"/>
      <w:r w:rsidR="0026664A">
        <w:t>interlivinga</w:t>
      </w:r>
      <w:proofErr w:type="spellEnd"/>
      <w:r w:rsidR="0026664A">
        <w:t xml:space="preserve"> i bez.</w:t>
      </w:r>
    </w:p>
    <w:p w14:paraId="6B565849" w14:textId="6DD694A2" w:rsidR="00CB38BB" w:rsidRDefault="007E5DCB" w:rsidP="00691008">
      <w:pPr>
        <w:jc w:val="both"/>
      </w:pPr>
      <w:r>
        <w:t>Nakon simulacije greške pri prenosu, vrši se dekodovanje primljenog signala kako bi se ustanovila efikasnost zaštitnog kodiranja.</w:t>
      </w:r>
    </w:p>
    <w:p w14:paraId="7234A4EA" w14:textId="77777777" w:rsidR="00691008" w:rsidRPr="00691008" w:rsidRDefault="00691008" w:rsidP="00691008"/>
    <w:p w14:paraId="589B4B9C" w14:textId="713A798F" w:rsidR="007E5DCB" w:rsidRDefault="007E5DCB" w:rsidP="007E5DCB">
      <w:pPr>
        <w:pStyle w:val="Naslov1"/>
      </w:pPr>
      <w:r>
        <w:lastRenderedPageBreak/>
        <w:t>Rezultati</w:t>
      </w:r>
    </w:p>
    <w:p w14:paraId="769F477E" w14:textId="5786AC86" w:rsidR="001F4311" w:rsidRDefault="001F4311" w:rsidP="001F4311"/>
    <w:p w14:paraId="64958557" w14:textId="1FAD404D" w:rsidR="001F4311" w:rsidRDefault="00763712" w:rsidP="001F4311">
      <w:r>
        <w:t>Analizirajmo prvo slučaj pojedinačnih grešaka, prikazan na slici 1.</w:t>
      </w:r>
    </w:p>
    <w:p w14:paraId="4BDEA379" w14:textId="77777777" w:rsidR="00763712" w:rsidRDefault="00763712" w:rsidP="00CB38BB">
      <w:pPr>
        <w:keepNext/>
      </w:pPr>
      <w:r>
        <w:rPr>
          <w:noProof/>
        </w:rPr>
        <w:drawing>
          <wp:inline distT="0" distB="0" distL="0" distR="0" wp14:anchorId="4E400539" wp14:editId="07145319">
            <wp:extent cx="3559629" cy="2373086"/>
            <wp:effectExtent l="0" t="0" r="3175"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png"/>
                    <pic:cNvPicPr/>
                  </pic:nvPicPr>
                  <pic:blipFill>
                    <a:blip r:embed="rId4">
                      <a:extLst>
                        <a:ext uri="{28A0092B-C50C-407E-A947-70E740481C1C}">
                          <a14:useLocalDpi xmlns:a14="http://schemas.microsoft.com/office/drawing/2010/main" val="0"/>
                        </a:ext>
                      </a:extLst>
                    </a:blip>
                    <a:stretch>
                      <a:fillRect/>
                    </a:stretch>
                  </pic:blipFill>
                  <pic:spPr>
                    <a:xfrm>
                      <a:off x="0" y="0"/>
                      <a:ext cx="3564874" cy="2376582"/>
                    </a:xfrm>
                    <a:prstGeom prst="rect">
                      <a:avLst/>
                    </a:prstGeom>
                  </pic:spPr>
                </pic:pic>
              </a:graphicData>
            </a:graphic>
          </wp:inline>
        </w:drawing>
      </w:r>
    </w:p>
    <w:p w14:paraId="54887CD9" w14:textId="431FB2D7" w:rsidR="00763712" w:rsidRDefault="00763712" w:rsidP="00CB38BB">
      <w:pPr>
        <w:pStyle w:val="Natpis"/>
      </w:pPr>
      <w:r>
        <w:t xml:space="preserve">Slika </w:t>
      </w:r>
      <w:r>
        <w:fldChar w:fldCharType="begin"/>
      </w:r>
      <w:r>
        <w:instrText xml:space="preserve"> SEQ Slika \* ARABIC </w:instrText>
      </w:r>
      <w:r>
        <w:fldChar w:fldCharType="separate"/>
      </w:r>
      <w:r w:rsidR="003E26B1">
        <w:rPr>
          <w:noProof/>
        </w:rPr>
        <w:t>1</w:t>
      </w:r>
      <w:r>
        <w:fldChar w:fldCharType="end"/>
      </w:r>
      <w:r>
        <w:t>: Broj neispravljenih grešaka pri prenosu sa pojedinačnim greškama verovatnoće 0.01</w:t>
      </w:r>
    </w:p>
    <w:p w14:paraId="67C2DBF3" w14:textId="7A1174C0" w:rsidR="007F643B" w:rsidRDefault="00763712" w:rsidP="00CB38BB">
      <w:pPr>
        <w:jc w:val="both"/>
      </w:pPr>
      <w:proofErr w:type="spellStart"/>
      <w:r>
        <w:t>Repeticioni</w:t>
      </w:r>
      <w:proofErr w:type="spellEnd"/>
      <w:r>
        <w:t xml:space="preserve"> kod reda 3 i </w:t>
      </w:r>
      <w:proofErr w:type="spellStart"/>
      <w:r w:rsidR="007F643B">
        <w:t>Hemingovi</w:t>
      </w:r>
      <w:proofErr w:type="spellEnd"/>
      <w:r w:rsidR="007F643B">
        <w:t xml:space="preserve"> kodovi ispravljaju jednu grešku po reči. </w:t>
      </w:r>
      <w:proofErr w:type="spellStart"/>
      <w:r w:rsidR="007F643B">
        <w:t>Repeticioni</w:t>
      </w:r>
      <w:proofErr w:type="spellEnd"/>
      <w:r w:rsidR="007F643B">
        <w:t xml:space="preserve"> kodovi reda 5 i 7 ispravljaju dve, odnosno tri greške po reči i nisu propustili ni jednu grešku. Veći broj neispravljenih grešaka u slučaju </w:t>
      </w:r>
      <w:proofErr w:type="spellStart"/>
      <w:r w:rsidR="007F643B">
        <w:t>Hemingovih</w:t>
      </w:r>
      <w:proofErr w:type="spellEnd"/>
      <w:r w:rsidR="007F643B">
        <w:t xml:space="preserve"> kodova u odnosu na </w:t>
      </w:r>
      <w:proofErr w:type="spellStart"/>
      <w:r w:rsidR="007F643B">
        <w:t>repeticioni</w:t>
      </w:r>
      <w:proofErr w:type="spellEnd"/>
      <w:r w:rsidR="007F643B">
        <w:t xml:space="preserve"> povezan je sa dužinom reči: </w:t>
      </w:r>
      <w:proofErr w:type="spellStart"/>
      <w:r w:rsidR="007F643B">
        <w:t>repeticioni</w:t>
      </w:r>
      <w:proofErr w:type="spellEnd"/>
      <w:r w:rsidR="007F643B">
        <w:t xml:space="preserve"> kod može da ispravi jednu grešku na svaka tri bita, dok </w:t>
      </w:r>
      <w:proofErr w:type="spellStart"/>
      <w:r w:rsidR="007F643B">
        <w:t>Hemingovi</w:t>
      </w:r>
      <w:proofErr w:type="spellEnd"/>
      <w:r w:rsidR="007F643B">
        <w:t xml:space="preserve"> kodovi mogu da isprave jednu grešku na svakih 7, odnosno 12 bita. Međutim, </w:t>
      </w:r>
      <w:proofErr w:type="spellStart"/>
      <w:r w:rsidR="007F643B">
        <w:t>Hemingovi</w:t>
      </w:r>
      <w:proofErr w:type="spellEnd"/>
      <w:r w:rsidR="007F643B">
        <w:t xml:space="preserve"> kodovi imaju manju </w:t>
      </w:r>
      <w:proofErr w:type="spellStart"/>
      <w:r w:rsidR="007F643B">
        <w:t>redundansu</w:t>
      </w:r>
      <w:proofErr w:type="spellEnd"/>
      <w:r w:rsidR="007F643B">
        <w:t xml:space="preserve"> od </w:t>
      </w:r>
      <w:proofErr w:type="spellStart"/>
      <w:r w:rsidR="007F643B">
        <w:t>repeticionog</w:t>
      </w:r>
      <w:proofErr w:type="spellEnd"/>
      <w:r w:rsidR="007F643B">
        <w:t xml:space="preserve"> koda: u </w:t>
      </w:r>
      <w:proofErr w:type="spellStart"/>
      <w:r w:rsidR="007F643B">
        <w:t>repeticionom</w:t>
      </w:r>
      <w:proofErr w:type="spellEnd"/>
      <w:r w:rsidR="007F643B">
        <w:t xml:space="preserve"> kodu reda 3 svaki bit se kodira sa 3 bita, dok se kod </w:t>
      </w:r>
      <w:proofErr w:type="spellStart"/>
      <w:r w:rsidR="007F643B">
        <w:t>Hemingovih</w:t>
      </w:r>
      <w:proofErr w:type="spellEnd"/>
      <w:r w:rsidR="007F643B">
        <w:t xml:space="preserve"> kodova kodira sa redom, 1.75 i 1.5 bita.</w:t>
      </w:r>
      <w:r w:rsidR="0006711C">
        <w:t xml:space="preserve"> Interesantno je primetiti da je odnos neispravljenih grešaka približno inverzno proporcionalan kvadratu odnosa </w:t>
      </w:r>
      <w:proofErr w:type="spellStart"/>
      <w:r w:rsidR="0006711C">
        <w:t>redundansi</w:t>
      </w:r>
      <w:proofErr w:type="spellEnd"/>
      <w:r w:rsidR="0006711C">
        <w:t>.</w:t>
      </w:r>
    </w:p>
    <w:p w14:paraId="05C9DF11" w14:textId="77777777" w:rsidR="00CB38BB" w:rsidRDefault="00CB38BB" w:rsidP="00763712"/>
    <w:p w14:paraId="2801DFCB" w14:textId="77777777" w:rsidR="00CB38BB" w:rsidRDefault="00CB38BB" w:rsidP="00763712"/>
    <w:p w14:paraId="0D606BC7" w14:textId="77777777" w:rsidR="00CB38BB" w:rsidRDefault="00CB38BB" w:rsidP="00763712"/>
    <w:p w14:paraId="4F161F57" w14:textId="77777777" w:rsidR="00CB38BB" w:rsidRDefault="00CB38BB" w:rsidP="00763712"/>
    <w:p w14:paraId="5A13EE1A" w14:textId="77777777" w:rsidR="00CB38BB" w:rsidRDefault="00CB38BB" w:rsidP="00763712"/>
    <w:p w14:paraId="6FF6F6C6" w14:textId="77777777" w:rsidR="00CB38BB" w:rsidRDefault="00CB38BB" w:rsidP="00763712"/>
    <w:p w14:paraId="13C26192" w14:textId="77777777" w:rsidR="00CB38BB" w:rsidRDefault="00CB38BB" w:rsidP="00763712"/>
    <w:p w14:paraId="4A0C19F7" w14:textId="77777777" w:rsidR="00691008" w:rsidRDefault="00691008" w:rsidP="00763712"/>
    <w:p w14:paraId="1998A3FC" w14:textId="77777777" w:rsidR="00691008" w:rsidRDefault="00691008" w:rsidP="00763712"/>
    <w:p w14:paraId="5F83F620" w14:textId="77777777" w:rsidR="00691008" w:rsidRDefault="00691008" w:rsidP="00763712"/>
    <w:p w14:paraId="093644BE" w14:textId="77777777" w:rsidR="00691008" w:rsidRDefault="00691008" w:rsidP="00763712"/>
    <w:p w14:paraId="78B5D7E9" w14:textId="64862495" w:rsidR="00CB38BB" w:rsidRDefault="0006711C" w:rsidP="00763712">
      <w:pPr>
        <w:rPr>
          <w:noProof/>
        </w:rPr>
      </w:pPr>
      <w:r>
        <w:lastRenderedPageBreak/>
        <w:t xml:space="preserve">Posmatrajmo sada slučajeve </w:t>
      </w:r>
      <w:proofErr w:type="spellStart"/>
      <w:r>
        <w:t>burst</w:t>
      </w:r>
      <w:proofErr w:type="spellEnd"/>
      <w:r>
        <w:t xml:space="preserve"> grešaka bez </w:t>
      </w:r>
      <w:proofErr w:type="spellStart"/>
      <w:r>
        <w:t>interlivinga</w:t>
      </w:r>
      <w:proofErr w:type="spellEnd"/>
      <w:r>
        <w:t>, prikazanih na slici 2.</w:t>
      </w:r>
      <w:r w:rsidR="00CB38BB" w:rsidRPr="00CB38BB">
        <w:rPr>
          <w:noProof/>
        </w:rPr>
        <w:t xml:space="preserve"> </w:t>
      </w:r>
    </w:p>
    <w:p w14:paraId="7CE9465D" w14:textId="77777777" w:rsidR="00CB38BB" w:rsidRDefault="00CB38BB" w:rsidP="00763712">
      <w:pPr>
        <w:rPr>
          <w:noProof/>
        </w:rPr>
      </w:pPr>
    </w:p>
    <w:p w14:paraId="7726DD3B" w14:textId="19F8CBF9" w:rsidR="0006711C" w:rsidRDefault="00CB38BB" w:rsidP="00763712">
      <w:r>
        <w:rPr>
          <w:noProof/>
        </w:rPr>
        <w:drawing>
          <wp:inline distT="0" distB="0" distL="0" distR="0" wp14:anchorId="51683FE9" wp14:editId="3EFD0ACF">
            <wp:extent cx="6080760" cy="4025905"/>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st_no_int.png"/>
                    <pic:cNvPicPr/>
                  </pic:nvPicPr>
                  <pic:blipFill>
                    <a:blip r:embed="rId5">
                      <a:extLst>
                        <a:ext uri="{28A0092B-C50C-407E-A947-70E740481C1C}">
                          <a14:useLocalDpi xmlns:a14="http://schemas.microsoft.com/office/drawing/2010/main" val="0"/>
                        </a:ext>
                      </a:extLst>
                    </a:blip>
                    <a:stretch>
                      <a:fillRect/>
                    </a:stretch>
                  </pic:blipFill>
                  <pic:spPr>
                    <a:xfrm>
                      <a:off x="0" y="0"/>
                      <a:ext cx="6083178" cy="4027506"/>
                    </a:xfrm>
                    <a:prstGeom prst="rect">
                      <a:avLst/>
                    </a:prstGeom>
                  </pic:spPr>
                </pic:pic>
              </a:graphicData>
            </a:graphic>
          </wp:inline>
        </w:drawing>
      </w:r>
    </w:p>
    <w:p w14:paraId="3D1DE897" w14:textId="6E29552E" w:rsidR="0006711C" w:rsidRPr="007F643B" w:rsidRDefault="0006711C" w:rsidP="00763712"/>
    <w:p w14:paraId="03C70BA2" w14:textId="3BF268FC" w:rsidR="00E21E0D" w:rsidRDefault="00E21E0D" w:rsidP="00E21E0D">
      <w:pPr>
        <w:keepNext/>
        <w:tabs>
          <w:tab w:val="left" w:pos="7155"/>
        </w:tabs>
        <w:jc w:val="center"/>
      </w:pPr>
    </w:p>
    <w:p w14:paraId="0F0452E3" w14:textId="0613D7B8" w:rsidR="00763712" w:rsidRDefault="00E21E0D" w:rsidP="00E21E0D">
      <w:pPr>
        <w:pStyle w:val="Natpis"/>
        <w:jc w:val="center"/>
      </w:pPr>
      <w:r>
        <w:t xml:space="preserve">Slika </w:t>
      </w:r>
      <w:r>
        <w:fldChar w:fldCharType="begin"/>
      </w:r>
      <w:r>
        <w:instrText xml:space="preserve"> SEQ Slika \* ARABIC </w:instrText>
      </w:r>
      <w:r>
        <w:fldChar w:fldCharType="separate"/>
      </w:r>
      <w:r w:rsidR="003E26B1">
        <w:rPr>
          <w:noProof/>
        </w:rPr>
        <w:t>2</w:t>
      </w:r>
      <w:r>
        <w:fldChar w:fldCharType="end"/>
      </w:r>
      <w:r>
        <w:t xml:space="preserve">: Performanse zaštitnih kodova u slučaju </w:t>
      </w:r>
      <w:proofErr w:type="spellStart"/>
      <w:r>
        <w:t>burst</w:t>
      </w:r>
      <w:proofErr w:type="spellEnd"/>
      <w:r>
        <w:t xml:space="preserve"> grešaka bez </w:t>
      </w:r>
      <w:proofErr w:type="spellStart"/>
      <w:r>
        <w:t>interlivinga</w:t>
      </w:r>
      <w:proofErr w:type="spellEnd"/>
    </w:p>
    <w:p w14:paraId="22B219CE" w14:textId="2594A8D0" w:rsidR="00E21E0D" w:rsidRDefault="00E21E0D" w:rsidP="00E21E0D"/>
    <w:p w14:paraId="0FFEFB1B" w14:textId="017647C5" w:rsidR="00E21E0D" w:rsidRDefault="00E21E0D" w:rsidP="00CB38BB">
      <w:pPr>
        <w:jc w:val="both"/>
      </w:pPr>
      <w:r>
        <w:t xml:space="preserve">Očigledno je da zaštitni kodovi imaju mnogo više problema sa ispravljanjem </w:t>
      </w:r>
      <w:proofErr w:type="spellStart"/>
      <w:r>
        <w:t>burst</w:t>
      </w:r>
      <w:proofErr w:type="spellEnd"/>
      <w:r>
        <w:t xml:space="preserve"> grešaka nego sa pojedinačnim greškama. Najviše problema imali su </w:t>
      </w:r>
      <w:proofErr w:type="spellStart"/>
      <w:r>
        <w:t>Hemingovi</w:t>
      </w:r>
      <w:proofErr w:type="spellEnd"/>
      <w:r>
        <w:t xml:space="preserve"> kodovi. Ovo proizilazi iz činjenice da </w:t>
      </w:r>
      <w:proofErr w:type="spellStart"/>
      <w:r>
        <w:t>Hemingovi</w:t>
      </w:r>
      <w:proofErr w:type="spellEnd"/>
      <w:r>
        <w:t xml:space="preserve"> kodovi mogu da isprave grešku samo u jednom bitu. Bilo kakva </w:t>
      </w:r>
      <w:proofErr w:type="spellStart"/>
      <w:r>
        <w:t>burst</w:t>
      </w:r>
      <w:proofErr w:type="spellEnd"/>
      <w:r>
        <w:t xml:space="preserve"> greška će samim tim izazvati grešku u prenosu najmanje jedne, a potencijalno i više reči. </w:t>
      </w:r>
      <w:proofErr w:type="spellStart"/>
      <w:r>
        <w:t>Repeticioni</w:t>
      </w:r>
      <w:proofErr w:type="spellEnd"/>
      <w:r>
        <w:t xml:space="preserve"> kodovi su se bolje pokazali, jer u zavisnosti od reda koda i dužine greške, postoji verovatnoća da se </w:t>
      </w:r>
      <w:proofErr w:type="spellStart"/>
      <w:r>
        <w:t>burst</w:t>
      </w:r>
      <w:proofErr w:type="spellEnd"/>
      <w:r>
        <w:t xml:space="preserve"> greška raspodeli na više kodiranih bitova, tako da broj </w:t>
      </w:r>
      <w:proofErr w:type="spellStart"/>
      <w:r>
        <w:t>bitskih</w:t>
      </w:r>
      <w:proofErr w:type="spellEnd"/>
      <w:r>
        <w:t xml:space="preserve"> grešaka u svakom kodiranom bitu bude u okviru mogućnosti </w:t>
      </w:r>
      <w:proofErr w:type="spellStart"/>
      <w:r>
        <w:t>repeticionog</w:t>
      </w:r>
      <w:proofErr w:type="spellEnd"/>
      <w:r>
        <w:t xml:space="preserve"> koda.</w:t>
      </w:r>
    </w:p>
    <w:p w14:paraId="77FE13A8" w14:textId="77777777" w:rsidR="00CB38BB" w:rsidRDefault="00CB38BB" w:rsidP="00CB38BB">
      <w:pPr>
        <w:jc w:val="both"/>
      </w:pPr>
    </w:p>
    <w:p w14:paraId="1806CC10" w14:textId="77777777" w:rsidR="00CB38BB" w:rsidRDefault="00CB38BB" w:rsidP="00CB38BB">
      <w:pPr>
        <w:jc w:val="both"/>
      </w:pPr>
    </w:p>
    <w:p w14:paraId="46FF1E3B" w14:textId="77777777" w:rsidR="00CB38BB" w:rsidRDefault="00CB38BB" w:rsidP="00CB38BB">
      <w:pPr>
        <w:jc w:val="both"/>
      </w:pPr>
    </w:p>
    <w:p w14:paraId="31AC114E" w14:textId="57CF4E63" w:rsidR="00E21E0D" w:rsidRDefault="003E26B1" w:rsidP="00CB38BB">
      <w:pPr>
        <w:jc w:val="both"/>
      </w:pPr>
      <w:r>
        <w:lastRenderedPageBreak/>
        <w:t xml:space="preserve">Konačno, razmotrimo uticaj </w:t>
      </w:r>
      <w:proofErr w:type="spellStart"/>
      <w:r>
        <w:t>interlivinga</w:t>
      </w:r>
      <w:proofErr w:type="spellEnd"/>
      <w:r>
        <w:t xml:space="preserve"> na sposobnost zaštitnih kodova da isprave grešku. Odgovarajući grafici prikazani su na slici 3.</w:t>
      </w:r>
    </w:p>
    <w:p w14:paraId="1C0208AF" w14:textId="77777777" w:rsidR="003E26B1" w:rsidRDefault="003E26B1" w:rsidP="00E21E0D"/>
    <w:p w14:paraId="5824CE37" w14:textId="77777777" w:rsidR="003E26B1" w:rsidRDefault="003E26B1" w:rsidP="003E26B1">
      <w:pPr>
        <w:keepNext/>
        <w:jc w:val="center"/>
      </w:pPr>
      <w:r>
        <w:rPr>
          <w:noProof/>
        </w:rPr>
        <w:drawing>
          <wp:inline distT="0" distB="0" distL="0" distR="0" wp14:anchorId="476256F9" wp14:editId="189151B8">
            <wp:extent cx="6286500" cy="5588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st_int.png"/>
                    <pic:cNvPicPr/>
                  </pic:nvPicPr>
                  <pic:blipFill>
                    <a:blip r:embed="rId6">
                      <a:extLst>
                        <a:ext uri="{28A0092B-C50C-407E-A947-70E740481C1C}">
                          <a14:useLocalDpi xmlns:a14="http://schemas.microsoft.com/office/drawing/2010/main" val="0"/>
                        </a:ext>
                      </a:extLst>
                    </a:blip>
                    <a:stretch>
                      <a:fillRect/>
                    </a:stretch>
                  </pic:blipFill>
                  <pic:spPr>
                    <a:xfrm>
                      <a:off x="0" y="0"/>
                      <a:ext cx="6289563" cy="5590723"/>
                    </a:xfrm>
                    <a:prstGeom prst="rect">
                      <a:avLst/>
                    </a:prstGeom>
                  </pic:spPr>
                </pic:pic>
              </a:graphicData>
            </a:graphic>
          </wp:inline>
        </w:drawing>
      </w:r>
    </w:p>
    <w:p w14:paraId="75758E93" w14:textId="1513EAA2" w:rsidR="003E26B1" w:rsidRDefault="003E26B1" w:rsidP="003E26B1">
      <w:pPr>
        <w:pStyle w:val="Natpis"/>
        <w:jc w:val="center"/>
      </w:pPr>
      <w:r>
        <w:t xml:space="preserve">Slika </w:t>
      </w:r>
      <w:r>
        <w:fldChar w:fldCharType="begin"/>
      </w:r>
      <w:r>
        <w:instrText xml:space="preserve"> SEQ Slika \* ARABIC </w:instrText>
      </w:r>
      <w:r>
        <w:fldChar w:fldCharType="separate"/>
      </w:r>
      <w:r>
        <w:rPr>
          <w:noProof/>
        </w:rPr>
        <w:t>3</w:t>
      </w:r>
      <w:r>
        <w:fldChar w:fldCharType="end"/>
      </w:r>
      <w:r>
        <w:t xml:space="preserve">: Performanse zaštitnih kodova prilikom ispravljanja </w:t>
      </w:r>
      <w:proofErr w:type="spellStart"/>
      <w:r>
        <w:t>burst</w:t>
      </w:r>
      <w:proofErr w:type="spellEnd"/>
      <w:r>
        <w:t xml:space="preserve"> grešaka uz primenu </w:t>
      </w:r>
      <w:proofErr w:type="spellStart"/>
      <w:r>
        <w:t>interlivinga</w:t>
      </w:r>
      <w:proofErr w:type="spellEnd"/>
    </w:p>
    <w:p w14:paraId="5FEBF996" w14:textId="345B0708" w:rsidR="009E2E40" w:rsidRDefault="003E26B1" w:rsidP="00CB38BB">
      <w:pPr>
        <w:jc w:val="both"/>
      </w:pPr>
      <w:r>
        <w:t xml:space="preserve">Burst greške dužine 4 i 5 manje su ili jednake od reda </w:t>
      </w:r>
      <w:proofErr w:type="spellStart"/>
      <w:r>
        <w:t>interlivinga</w:t>
      </w:r>
      <w:proofErr w:type="spellEnd"/>
      <w:r>
        <w:t xml:space="preserve"> u sva tri slučaja. U svakoj kodnoj reči koja se prenosi javila se najviše jedna greška, i zaštitni kod nije imao problema prilikom ispravljanja. </w:t>
      </w:r>
      <w:proofErr w:type="spellStart"/>
      <w:r>
        <w:t>Interliving</w:t>
      </w:r>
      <w:proofErr w:type="spellEnd"/>
      <w:r>
        <w:t xml:space="preserve"> 5 i 7 reči nije bio dovoljan da bi se adekvatno ispravile </w:t>
      </w:r>
      <w:proofErr w:type="spellStart"/>
      <w:r>
        <w:t>burst</w:t>
      </w:r>
      <w:proofErr w:type="spellEnd"/>
      <w:r>
        <w:t xml:space="preserve"> greške dužine 8. Ipak, nakon upotrebe </w:t>
      </w:r>
      <w:proofErr w:type="spellStart"/>
      <w:r>
        <w:t>interlivinga</w:t>
      </w:r>
      <w:proofErr w:type="spellEnd"/>
      <w:r>
        <w:t xml:space="preserve"> 7 reči i dekodovanja primljenog signala u njemu je ostalo otprilike tri puta manje neispravljenih grešaka. </w:t>
      </w:r>
      <w:r w:rsidR="009E2E40">
        <w:t xml:space="preserve">Ova cifra odgovara razlici reda </w:t>
      </w:r>
      <w:proofErr w:type="spellStart"/>
      <w:r w:rsidR="009E2E40">
        <w:t>interlivinga</w:t>
      </w:r>
      <w:proofErr w:type="spellEnd"/>
      <w:r w:rsidR="009E2E40">
        <w:t xml:space="preserve"> i dužine </w:t>
      </w:r>
      <w:proofErr w:type="spellStart"/>
      <w:r w:rsidR="009E2E40">
        <w:t>burst</w:t>
      </w:r>
      <w:proofErr w:type="spellEnd"/>
      <w:r w:rsidR="009E2E40">
        <w:t xml:space="preserve"> greške u oba slučaja. U slučaju </w:t>
      </w:r>
      <w:proofErr w:type="spellStart"/>
      <w:r w:rsidR="009E2E40">
        <w:t>interlivinga</w:t>
      </w:r>
      <w:proofErr w:type="spellEnd"/>
      <w:r w:rsidR="009E2E40">
        <w:t xml:space="preserve"> 7 reči, prilikom pojavljivanja </w:t>
      </w:r>
      <w:proofErr w:type="spellStart"/>
      <w:r w:rsidR="009E2E40">
        <w:t>burst</w:t>
      </w:r>
      <w:proofErr w:type="spellEnd"/>
      <w:r w:rsidR="009E2E40">
        <w:t xml:space="preserve"> greške dvostruka greška javiće se u samo jednoj reči, dok se u slučaju </w:t>
      </w:r>
      <w:proofErr w:type="spellStart"/>
      <w:r w:rsidR="009E2E40">
        <w:t>interlivinga</w:t>
      </w:r>
      <w:proofErr w:type="spellEnd"/>
      <w:r w:rsidR="009E2E40">
        <w:t xml:space="preserve"> 5 reči ona javlja u tri reči. U slučaju </w:t>
      </w:r>
      <w:proofErr w:type="spellStart"/>
      <w:r w:rsidR="009E2E40">
        <w:t>interlivinga</w:t>
      </w:r>
      <w:proofErr w:type="spellEnd"/>
      <w:r w:rsidR="009E2E40">
        <w:t xml:space="preserve"> 9 reči nije bilo grešaka jer je dužina </w:t>
      </w:r>
      <w:proofErr w:type="spellStart"/>
      <w:r w:rsidR="009E2E40">
        <w:t>burst</w:t>
      </w:r>
      <w:proofErr w:type="spellEnd"/>
      <w:r w:rsidR="009E2E40">
        <w:t xml:space="preserve"> greške bila previše mala. Sličnu situaciju vidimo i u slučaju </w:t>
      </w:r>
      <w:proofErr w:type="spellStart"/>
      <w:r w:rsidR="009E2E40">
        <w:t>burst</w:t>
      </w:r>
      <w:proofErr w:type="spellEnd"/>
      <w:r w:rsidR="009E2E40">
        <w:t xml:space="preserve"> grešaka dužine 10. Ova greška </w:t>
      </w:r>
      <w:r w:rsidR="009E2E40">
        <w:lastRenderedPageBreak/>
        <w:t xml:space="preserve">veća je od reda </w:t>
      </w:r>
      <w:proofErr w:type="spellStart"/>
      <w:r w:rsidR="009E2E40">
        <w:t>interlivinga</w:t>
      </w:r>
      <w:proofErr w:type="spellEnd"/>
      <w:r w:rsidR="009E2E40">
        <w:t xml:space="preserve"> u sva tri slučaja, s tim što je najmanji broj grešaka ostao nakon primene </w:t>
      </w:r>
      <w:proofErr w:type="spellStart"/>
      <w:r w:rsidR="009E2E40">
        <w:t>interlivinga</w:t>
      </w:r>
      <w:proofErr w:type="spellEnd"/>
      <w:r w:rsidR="009E2E40">
        <w:t xml:space="preserve"> 9 reči, iz istog razloga kao u prethodnom slučaju.</w:t>
      </w:r>
    </w:p>
    <w:p w14:paraId="03E16F49" w14:textId="1EB689E2" w:rsidR="009E2E40" w:rsidRDefault="009E2E40" w:rsidP="00CB38BB">
      <w:pPr>
        <w:jc w:val="both"/>
      </w:pPr>
      <w:r>
        <w:t xml:space="preserve">Bitno je još napomenuti da su </w:t>
      </w:r>
      <w:proofErr w:type="spellStart"/>
      <w:r>
        <w:t>repeticioni</w:t>
      </w:r>
      <w:proofErr w:type="spellEnd"/>
      <w:r>
        <w:t xml:space="preserve"> kodovi višeg reda (5 i 7) ispravili sve greške u svim slučajevima. Objašnjenje možemo naći u činjenici da ovi kodovi mogu da isprave dve, odnosno tri greške u jednoj kodnoj reči. Posledično, nakon primene </w:t>
      </w:r>
      <w:proofErr w:type="spellStart"/>
      <w:r>
        <w:t>interlivinga</w:t>
      </w:r>
      <w:proofErr w:type="spellEnd"/>
      <w:r>
        <w:t xml:space="preserve">, npr., 5 reči, ovi kodovi moći će da izađu na kraj sa </w:t>
      </w:r>
      <w:proofErr w:type="spellStart"/>
      <w:r>
        <w:t>burst</w:t>
      </w:r>
      <w:proofErr w:type="spellEnd"/>
      <w:r>
        <w:t xml:space="preserve"> greškama dužine 10, odnosno 15, dok će </w:t>
      </w:r>
      <w:proofErr w:type="spellStart"/>
      <w:r>
        <w:t>repeticioni</w:t>
      </w:r>
      <w:proofErr w:type="spellEnd"/>
      <w:r>
        <w:t xml:space="preserve"> kod reda 3 i </w:t>
      </w:r>
      <w:proofErr w:type="spellStart"/>
      <w:r>
        <w:t>Hemingovi</w:t>
      </w:r>
      <w:proofErr w:type="spellEnd"/>
      <w:r>
        <w:t xml:space="preserve"> kodovi moći da isprave samo </w:t>
      </w:r>
      <w:proofErr w:type="spellStart"/>
      <w:r>
        <w:t>burst</w:t>
      </w:r>
      <w:proofErr w:type="spellEnd"/>
      <w:r>
        <w:t xml:space="preserve"> greške dužine 5. Pošto je najduža </w:t>
      </w:r>
      <w:proofErr w:type="spellStart"/>
      <w:r>
        <w:t>burst</w:t>
      </w:r>
      <w:proofErr w:type="spellEnd"/>
      <w:r>
        <w:t xml:space="preserve"> greška koju razmatramo dužine 10, ni u jednom posmatranom slučaju nije se desilo da </w:t>
      </w:r>
      <w:proofErr w:type="spellStart"/>
      <w:r>
        <w:t>repeticioni</w:t>
      </w:r>
      <w:proofErr w:type="spellEnd"/>
      <w:r>
        <w:t xml:space="preserve"> kodovi reda 5 i 7 nisu uspeli da isprave grešku.</w:t>
      </w:r>
    </w:p>
    <w:p w14:paraId="551EBE40" w14:textId="0C5630E0" w:rsidR="009E2E40" w:rsidRPr="003E26B1" w:rsidRDefault="009E2E40" w:rsidP="00CB38BB">
      <w:pPr>
        <w:jc w:val="both"/>
      </w:pPr>
      <w:r>
        <w:t xml:space="preserve">Grafici </w:t>
      </w:r>
      <w:r w:rsidR="00FA1130">
        <w:t xml:space="preserve">na gornjim slikama </w:t>
      </w:r>
      <w:proofErr w:type="spellStart"/>
      <w:r w:rsidR="00FA1130">
        <w:t>plotovani</w:t>
      </w:r>
      <w:proofErr w:type="spellEnd"/>
      <w:r w:rsidR="00FA1130">
        <w:t xml:space="preserve"> su za izvor a priori verovatnoće 0.5. Rezultati koji se dobiju za izvor verovatnoće 0.1 ne odudaraju značajno.</w:t>
      </w:r>
    </w:p>
    <w:sectPr w:rsidR="009E2E40" w:rsidRPr="003E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EB"/>
    <w:rsid w:val="0006711C"/>
    <w:rsid w:val="0009648C"/>
    <w:rsid w:val="00166811"/>
    <w:rsid w:val="00190A5C"/>
    <w:rsid w:val="001F4311"/>
    <w:rsid w:val="00212900"/>
    <w:rsid w:val="0026664A"/>
    <w:rsid w:val="002758A4"/>
    <w:rsid w:val="00330F21"/>
    <w:rsid w:val="00354752"/>
    <w:rsid w:val="003E26B1"/>
    <w:rsid w:val="004948CD"/>
    <w:rsid w:val="005B6DF3"/>
    <w:rsid w:val="005D4F02"/>
    <w:rsid w:val="0064228D"/>
    <w:rsid w:val="00691008"/>
    <w:rsid w:val="00763712"/>
    <w:rsid w:val="007E5DCB"/>
    <w:rsid w:val="007F643B"/>
    <w:rsid w:val="008518A8"/>
    <w:rsid w:val="0089466F"/>
    <w:rsid w:val="008D075F"/>
    <w:rsid w:val="008D1BB1"/>
    <w:rsid w:val="00944105"/>
    <w:rsid w:val="009B25CB"/>
    <w:rsid w:val="009D5409"/>
    <w:rsid w:val="009E2E40"/>
    <w:rsid w:val="00A800F6"/>
    <w:rsid w:val="00A81536"/>
    <w:rsid w:val="00AF1751"/>
    <w:rsid w:val="00BC7F2D"/>
    <w:rsid w:val="00C20C6B"/>
    <w:rsid w:val="00C81D28"/>
    <w:rsid w:val="00CB38BB"/>
    <w:rsid w:val="00D25EDE"/>
    <w:rsid w:val="00DA49EB"/>
    <w:rsid w:val="00DF1E54"/>
    <w:rsid w:val="00E21E0D"/>
    <w:rsid w:val="00EB27A0"/>
    <w:rsid w:val="00F46CAA"/>
    <w:rsid w:val="00FA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69F3"/>
  <w15:chartTrackingRefBased/>
  <w15:docId w15:val="{F5D0088E-470C-4D2F-960C-7028CAA1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Naslov1">
    <w:name w:val="heading 1"/>
    <w:basedOn w:val="Normal"/>
    <w:next w:val="Normal"/>
    <w:link w:val="Naslov1Char"/>
    <w:uiPriority w:val="9"/>
    <w:qFormat/>
    <w:rsid w:val="00494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212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DA49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DA49EB"/>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DA49EB"/>
    <w:pPr>
      <w:numPr>
        <w:ilvl w:val="1"/>
      </w:numPr>
    </w:pPr>
    <w:rPr>
      <w:rFonts w:eastAsiaTheme="minorEastAsia"/>
      <w:color w:val="5A5A5A" w:themeColor="text1" w:themeTint="A5"/>
      <w:spacing w:val="15"/>
    </w:rPr>
  </w:style>
  <w:style w:type="character" w:customStyle="1" w:styleId="PodnaslovChar">
    <w:name w:val="Podnaslov Char"/>
    <w:basedOn w:val="Podrazumevanifontpasusa"/>
    <w:link w:val="Podnaslov"/>
    <w:uiPriority w:val="11"/>
    <w:rsid w:val="00DA49EB"/>
    <w:rPr>
      <w:rFonts w:eastAsiaTheme="minorEastAsia"/>
      <w:color w:val="5A5A5A" w:themeColor="text1" w:themeTint="A5"/>
      <w:spacing w:val="15"/>
    </w:rPr>
  </w:style>
  <w:style w:type="character" w:styleId="Suptilnonaglaavanje">
    <w:name w:val="Subtle Emphasis"/>
    <w:basedOn w:val="Podrazumevanifontpasusa"/>
    <w:uiPriority w:val="19"/>
    <w:qFormat/>
    <w:rsid w:val="00DA49EB"/>
    <w:rPr>
      <w:i/>
      <w:iCs/>
      <w:color w:val="404040" w:themeColor="text1" w:themeTint="BF"/>
    </w:rPr>
  </w:style>
  <w:style w:type="character" w:customStyle="1" w:styleId="Naslov1Char">
    <w:name w:val="Naslov 1 Char"/>
    <w:basedOn w:val="Podrazumevanifontpasusa"/>
    <w:link w:val="Naslov1"/>
    <w:uiPriority w:val="9"/>
    <w:rsid w:val="004948CD"/>
    <w:rPr>
      <w:rFonts w:asciiTheme="majorHAnsi" w:eastAsiaTheme="majorEastAsia" w:hAnsiTheme="majorHAnsi" w:cstheme="majorBidi"/>
      <w:color w:val="2F5496" w:themeColor="accent1" w:themeShade="BF"/>
      <w:sz w:val="32"/>
      <w:szCs w:val="32"/>
      <w:lang w:val="sr-Latn-RS"/>
    </w:rPr>
  </w:style>
  <w:style w:type="character" w:customStyle="1" w:styleId="Naslov2Char">
    <w:name w:val="Naslov 2 Char"/>
    <w:basedOn w:val="Podrazumevanifontpasusa"/>
    <w:link w:val="Naslov2"/>
    <w:uiPriority w:val="9"/>
    <w:rsid w:val="00212900"/>
    <w:rPr>
      <w:rFonts w:asciiTheme="majorHAnsi" w:eastAsiaTheme="majorEastAsia" w:hAnsiTheme="majorHAnsi" w:cstheme="majorBidi"/>
      <w:color w:val="2F5496" w:themeColor="accent1" w:themeShade="BF"/>
      <w:sz w:val="26"/>
      <w:szCs w:val="26"/>
      <w:lang w:val="sr-Latn-RS"/>
    </w:rPr>
  </w:style>
  <w:style w:type="paragraph" w:styleId="Natpis">
    <w:name w:val="caption"/>
    <w:basedOn w:val="Normal"/>
    <w:next w:val="Normal"/>
    <w:uiPriority w:val="35"/>
    <w:unhideWhenUsed/>
    <w:qFormat/>
    <w:rsid w:val="00763712"/>
    <w:pPr>
      <w:spacing w:after="200" w:line="240" w:lineRule="auto"/>
    </w:pPr>
    <w:rPr>
      <w:i/>
      <w:iCs/>
      <w:color w:val="44546A" w:themeColor="text2"/>
      <w:sz w:val="18"/>
      <w:szCs w:val="18"/>
    </w:rPr>
  </w:style>
  <w:style w:type="character" w:styleId="Tekstuvaramesta">
    <w:name w:val="Placeholder Text"/>
    <w:basedOn w:val="Podrazumevanifontpasusa"/>
    <w:uiPriority w:val="99"/>
    <w:semiHidden/>
    <w:rsid w:val="00330F21"/>
    <w:rPr>
      <w:color w:val="808080"/>
    </w:rPr>
  </w:style>
  <w:style w:type="table" w:styleId="Koordinatnamreatabele">
    <w:name w:val="Table Grid"/>
    <w:basedOn w:val="Normalnatabela"/>
    <w:uiPriority w:val="39"/>
    <w:rsid w:val="0033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1820</Words>
  <Characters>10374</Characters>
  <Application>Microsoft Office Word</Application>
  <DocSecurity>4</DocSecurity>
  <Lines>86</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Илија Анастасијевић</dc:creator>
  <cp:keywords/>
  <dc:description/>
  <cp:lastModifiedBy>Gordana Ćeranić</cp:lastModifiedBy>
  <cp:revision>2</cp:revision>
  <dcterms:created xsi:type="dcterms:W3CDTF">2020-08-05T11:26:00Z</dcterms:created>
  <dcterms:modified xsi:type="dcterms:W3CDTF">2020-08-05T11:26:00Z</dcterms:modified>
</cp:coreProperties>
</file>