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A213D"/>
          <w:sz w:val="44"/>
        </w:rPr>
        <w:t>Metodologia dos Indicadores</w:t>
      </w:r>
    </w:p>
    <w:p>
      <w:r>
        <w:rPr>
          <w:color w:val="1B5F51"/>
          <w:sz w:val="26"/>
        </w:rPr>
        <w:t>Painel de Indicadores Obstétricos e Neonatais — Brasil 2024</w:t>
      </w:r>
    </w:p>
    <w:p>
      <w:pPr>
        <w:spacing w:after="40"/>
      </w:pPr>
      <w:r>
        <w:rPr>
          <w:b w:val="0"/>
          <w:i/>
          <w:sz w:val="20"/>
        </w:rPr>
        <w:t>Estabelecimentos com mais de 1.000 partos · 543 unidades · 1,25 milhão de partos</w:t>
      </w:r>
    </w:p>
    <w:p>
      <w:pPr>
        <w:spacing w:after="200"/>
      </w:pPr>
      <w:r>
        <w:rPr>
          <w:b w:val="0"/>
          <w:i/>
          <w:color w:val="5A6B62"/>
          <w:sz w:val="19"/>
        </w:rPr>
        <w:t>Fonte dos dados: SINASC / CNES / SIH-SUS · Extração 01/07/2026 · Documento atualizado em 15/07/2026</w:t>
      </w:r>
    </w:p>
    <w:p>
      <w:pPr>
        <w:spacing w:after="200"/>
      </w:pPr>
      <w:r>
        <w:rPr>
          <w:b/>
          <w:color w:val="0A213D"/>
          <w:sz w:val="20"/>
        </w:rPr>
        <w:t xml:space="preserve">Importante — oficial vs. institucional:  </w:t>
      </w:r>
      <w:r>
        <w:rPr>
          <w:i/>
          <w:sz w:val="19"/>
        </w:rPr>
        <w:t>O painel apenas AGREGA a classificação já existente na planilha institucional. Os indicadores são reconhecidos e alinhados à Rede Alyne (Ministério da Saúde) e ao SMCON (IFF/Fiocruz), mas os limiares que definem cada indicador como “adequado” são institucionais — não constam nos atos oficiais consultados, que remetem a um ato de indicadores ainda não publicado. A única meta oficial usada é a taxa de cesárea ≤ 35% (Rede Alyne, Portaria GM/MS 5.350/2024).</w:t>
      </w:r>
    </w:p>
    <w:p>
      <w:pPr>
        <w:pStyle w:val="Heading1"/>
      </w:pPr>
      <w:r>
        <w:rPr>
          <w:color w:val="0A213D"/>
        </w:rPr>
        <w:t>1. Como os agregados são calculados</w:t>
      </w:r>
    </w:p>
    <w:p>
      <w:pPr>
        <w:spacing w:after="120"/>
      </w:pPr>
      <w:r>
        <w:rPr>
          <w:b w:val="0"/>
          <w:i w:val="0"/>
          <w:sz w:val="21"/>
        </w:rPr>
        <w:t>Cada estabelecimento traz seus dados brutos e sua classificação de adequação. O painel agrega esses estabelecimentos por território em três níveis — UF, macrorregião de saúde e região de saúde.</w:t>
      </w:r>
    </w:p>
    <w:p>
      <w:pPr>
        <w:pStyle w:val="ListBullet"/>
      </w:pPr>
      <w:r>
        <w:rPr>
          <w:sz w:val="20"/>
        </w:rPr>
        <w:t>Indicadores de adequação (“% … adequada”): (nº de estabelecimentos adequados ÷ nº de estabelecimentos) × 100.</w:t>
      </w:r>
    </w:p>
    <w:p>
      <w:pPr>
        <w:pStyle w:val="ListBullet"/>
      </w:pPr>
      <w:r>
        <w:rPr>
          <w:sz w:val="20"/>
        </w:rPr>
        <w:t>Taxas ponderadas (ex.: cesariana): somam-se numerador e denominador de todas as unidades (Σ cesáreas ÷ Σ partos × 100).</w:t>
      </w:r>
    </w:p>
    <w:p>
      <w:pPr>
        <w:pStyle w:val="ListBullet"/>
      </w:pPr>
      <w:r>
        <w:rPr>
          <w:sz w:val="20"/>
        </w:rPr>
        <w:t>Medianas (ex.: gráfico de Robson, mediana de AMIU): mediana do percentual entre os estabelecimentos do território.</w:t>
      </w:r>
    </w:p>
    <w:p>
      <w:pPr>
        <w:pStyle w:val="ListBullet"/>
      </w:pPr>
      <w:r>
        <w:rPr>
          <w:sz w:val="20"/>
        </w:rPr>
        <w:t>Mapa: cores em quintis calculados sobre os territórios visíveis; escala sequencial de verdes, segura para daltonismo; cinza = território sem estabelecimento elegível.</w:t>
      </w:r>
    </w:p>
    <w:p>
      <w:pPr>
        <w:pStyle w:val="ListBullet"/>
      </w:pPr>
      <w:r>
        <w:rPr>
          <w:sz w:val="20"/>
        </w:rPr>
        <w:t>Cobertura parcial: todo agregado reflete apenas as unidades com mais de 1.000 partos — não a totalidade dos partos do território.</w:t>
      </w:r>
    </w:p>
    <w:p>
      <w:pPr>
        <w:spacing w:after="40"/>
      </w:pPr>
      <w:r>
        <w:rPr>
          <w:b/>
          <w:i w:val="0"/>
          <w:sz w:val="20"/>
        </w:rPr>
        <w:t>Sistemas de informação-fonte.</w:t>
      </w:r>
    </w:p>
    <w:p>
      <w:pPr>
        <w:spacing w:after="120"/>
      </w:pPr>
      <w:r>
        <w:rPr>
          <w:b w:val="0"/>
          <w:i w:val="0"/>
          <w:sz w:val="20"/>
        </w:rPr>
        <w:t>Os dados vêm de três sistemas nacionais, com papéis distintos: o SINASC (Sistema de Informações sobre Nascidos Vivos) fornece os nascidos vivos e a riqueza clínica da Declaração de Nascido Vivo — via de parto, quem assistiu o parto, Apgar, peso e as variáveis da classificação de Robson; o CNES identifica os estabelecimentos e suas habilitações (unidade neonatal, alto risco); e o SIH/SUS fornece os procedimentos financiados pelo SUS (AMIU, inserção de DIU/implante, entre outros). O SMCON (IFF/Fiocruz) é um sistema de monitoramento voluntário, presente em parte das unidades, e figura aqui como um dos indicadores (adesão) — não como fonte dos demais. O mapeamento campo a campo não é detalhado na planilha de origem; a atribuição acima segue a natureza de cada sistema.</w:t>
      </w:r>
    </w:p>
    <w:p>
      <w:pPr>
        <w:pStyle w:val="Heading1"/>
      </w:pPr>
      <w:r>
        <w:rPr>
          <w:color w:val="0A213D"/>
        </w:rPr>
        <w:t>2. Os indicadores — o que são, como se calculam e fontes</w:t>
      </w:r>
    </w:p>
    <w:p>
      <w:pPr>
        <w:pStyle w:val="Heading2"/>
      </w:pPr>
      <w:r>
        <w:rPr>
          <w:color w:val="1B5F51"/>
        </w:rPr>
        <w:t>2.1 Visão geral</w:t>
      </w:r>
    </w:p>
    <w:p>
      <w:pPr>
        <w:spacing w:after="20" w:before="120"/>
      </w:pPr>
      <w:r>
        <w:rPr>
          <w:b/>
          <w:color w:val="1B5F51"/>
          <w:sz w:val="22"/>
        </w:rPr>
        <w:t>% com Selo de qualidade</w:t>
      </w:r>
    </w:p>
    <w:p>
      <w:pPr>
        <w:spacing w:after="40"/>
      </w:pPr>
      <w:r>
        <w:rPr>
          <w:b w:val="0"/>
          <w:i w:val="0"/>
          <w:sz w:val="20"/>
        </w:rPr>
        <w:t>Síntese da qualidade global: reconhece os estabelecimentos que alcançam pelo menos 5 dos 9 indicadores classificatórios adequados (detalhado na seção 3).</w:t>
      </w:r>
    </w:p>
    <w:p>
      <w:pPr>
        <w:spacing w:after="80"/>
        <w:ind w:left="227"/>
      </w:pPr>
      <w:r>
        <w:rPr>
          <w:b/>
          <w:color w:val="1B5F51"/>
          <w:sz w:val="18"/>
        </w:rPr>
        <w:t xml:space="preserve">Cálculo: </w:t>
      </w:r>
      <w:r>
        <w:rPr>
          <w:color w:val="5A6B62"/>
          <w:sz w:val="18"/>
        </w:rPr>
        <w:t xml:space="preserve">estab. com selo ÷ estab. × 100    </w:t>
      </w:r>
      <w:r>
        <w:rPr>
          <w:b/>
          <w:color w:val="1B5F51"/>
          <w:sz w:val="18"/>
        </w:rPr>
        <w:t xml:space="preserve">Adequação: </w:t>
      </w:r>
      <w:r>
        <w:rPr>
          <w:color w:val="5A6B62"/>
          <w:sz w:val="18"/>
        </w:rPr>
        <w:t xml:space="preserve">campo oficial da planilha (≥ 5 de 9 indicadores)    </w:t>
      </w:r>
      <w:r>
        <w:rPr>
          <w:b/>
          <w:color w:val="1B5F51"/>
          <w:sz w:val="18"/>
        </w:rPr>
        <w:t xml:space="preserve">Fonte: </w:t>
      </w:r>
      <w:r>
        <w:rPr>
          <w:color w:val="5A6B62"/>
          <w:sz w:val="18"/>
        </w:rPr>
        <w:t xml:space="preserve">Planilha institucional (SINASC/CNES/SIH).    </w:t>
      </w:r>
    </w:p>
    <w:p>
      <w:pPr>
        <w:spacing w:after="20" w:before="120"/>
      </w:pPr>
      <w:r>
        <w:rPr>
          <w:b/>
          <w:color w:val="1B5F51"/>
          <w:sz w:val="22"/>
        </w:rPr>
        <w:t>Estabelecimentos e Partos</w:t>
      </w:r>
    </w:p>
    <w:p>
      <w:pPr>
        <w:spacing w:after="40"/>
      </w:pPr>
      <w:r>
        <w:rPr>
          <w:b w:val="0"/>
          <w:i w:val="0"/>
          <w:sz w:val="20"/>
        </w:rPr>
        <w:t>Números de contexto: quantas unidades com mais de 1.000 partos compõem a seleção e o volume total de partos em 2024.</w:t>
      </w:r>
    </w:p>
    <w:p>
      <w:pPr>
        <w:spacing w:after="80"/>
        <w:ind w:left="227"/>
      </w:pPr>
      <w:r>
        <w:rPr>
          <w:b/>
          <w:color w:val="1B5F51"/>
          <w:sz w:val="18"/>
        </w:rPr>
        <w:t xml:space="preserve">Cálculo: </w:t>
      </w:r>
      <w:r>
        <w:rPr>
          <w:color w:val="5A6B62"/>
          <w:sz w:val="18"/>
        </w:rPr>
        <w:t xml:space="preserve">contagem de estabelecimentos; soma do total de partos (nascidos vivos)    </w:t>
      </w:r>
      <w:r>
        <w:rPr>
          <w:b/>
          <w:color w:val="1B5F51"/>
          <w:sz w:val="18"/>
        </w:rPr>
        <w:t xml:space="preserve">Adequação: </w:t>
      </w:r>
      <w:r>
        <w:rPr>
          <w:color w:val="5A6B62"/>
          <w:sz w:val="18"/>
        </w:rPr>
        <w:t xml:space="preserve">—    </w:t>
      </w:r>
      <w:r>
        <w:rPr>
          <w:b/>
          <w:color w:val="1B5F51"/>
          <w:sz w:val="18"/>
        </w:rPr>
        <w:t xml:space="preserve">Fonte: </w:t>
      </w:r>
      <w:r>
        <w:rPr>
          <w:color w:val="5A6B62"/>
          <w:sz w:val="18"/>
        </w:rPr>
        <w:t xml:space="preserve">Partos: SINASC (nascidos vivos, via DNV). Estabelecimentos: CNES.    </w:t>
      </w:r>
    </w:p>
    <w:p>
      <w:pPr>
        <w:pStyle w:val="Heading2"/>
      </w:pPr>
      <w:r>
        <w:rPr>
          <w:color w:val="1B5F51"/>
        </w:rPr>
        <w:t>2.2 Estrutura</w:t>
      </w:r>
    </w:p>
    <w:p>
      <w:pPr>
        <w:spacing w:after="20" w:before="120"/>
      </w:pPr>
      <w:r>
        <w:rPr>
          <w:b/>
          <w:color w:val="1B5F51"/>
          <w:sz w:val="22"/>
        </w:rPr>
        <w:t>% Neonatal completa</w:t>
      </w:r>
    </w:p>
    <w:p>
      <w:pPr>
        <w:spacing w:after="40"/>
      </w:pPr>
      <w:r>
        <w:rPr>
          <w:b w:val="0"/>
          <w:i w:val="0"/>
          <w:sz w:val="20"/>
        </w:rPr>
        <w:t>Mede a capacidade instalada para o cuidado ao recém-nascido de risco: presença de Unidade de Terapia Intensiva Neonatal (UTIN) e Unidades de Cuidado Intermediário Neonatal Convencional (UCINCo) e Canguru (UCINCa). Maternidades de risco habitual, que não precisam do conjunto completo, recebem “não se aplica”.</w:t>
      </w:r>
    </w:p>
    <w:p>
      <w:pPr>
        <w:spacing w:after="80"/>
        <w:ind w:left="227"/>
      </w:pPr>
      <w:r>
        <w:rPr>
          <w:b/>
          <w:color w:val="1B5F51"/>
          <w:sz w:val="18"/>
        </w:rPr>
        <w:t xml:space="preserve">Cálculo: </w:t>
      </w:r>
      <w:r>
        <w:rPr>
          <w:color w:val="5A6B62"/>
          <w:sz w:val="18"/>
        </w:rPr>
        <w:t xml:space="preserve">% de estabelecimentos com unidade neonatal completa = SIM    </w:t>
      </w:r>
      <w:r>
        <w:rPr>
          <w:b/>
          <w:color w:val="1B5F51"/>
          <w:sz w:val="18"/>
        </w:rPr>
        <w:t xml:space="preserve">Adequação: </w:t>
      </w:r>
      <w:r>
        <w:rPr>
          <w:color w:val="5A6B62"/>
          <w:sz w:val="18"/>
        </w:rPr>
        <w:t xml:space="preserve">possuir UTIN + UCINCo + UCINCa (habilitações CNES)    </w:t>
      </w:r>
      <w:r>
        <w:rPr>
          <w:b/>
          <w:color w:val="1B5F51"/>
          <w:sz w:val="18"/>
        </w:rPr>
        <w:t xml:space="preserve">Fonte: </w:t>
      </w:r>
      <w:r>
        <w:rPr>
          <w:color w:val="5A6B62"/>
          <w:sz w:val="18"/>
        </w:rPr>
        <w:t xml:space="preserve">Dados: CNES (habilitações). Ref.: Portaria SAES/MS 2.902/2025 (códigos CNES); Rede Alyne, Portaria GM/MS 5.350/2024, Art. 47.    </w:t>
      </w:r>
    </w:p>
    <w:p>
      <w:pPr>
        <w:spacing w:after="40"/>
      </w:pPr>
      <w:r>
        <w:rPr>
          <w:b/>
          <w:i w:val="0"/>
          <w:sz w:val="20"/>
        </w:rPr>
        <w:t>Nota — HGPAR não é indicador de qualidade.</w:t>
      </w:r>
    </w:p>
    <w:p>
      <w:pPr>
        <w:spacing w:after="120"/>
      </w:pPr>
      <w:r>
        <w:rPr>
          <w:b w:val="0"/>
          <w:i w:val="0"/>
          <w:sz w:val="20"/>
        </w:rPr>
        <w:t>A sigla HGPAR designa a habilitação “Hospital de Gestação e Puerpério de Alto Risco” (Serviços Hospitalares de Referência à Gestação e ao Puerpério de Alto Risco), concedida via CNES/SAIPS no âmbito da Rede Alyne. É uma classificação estrutural/habilitação — listada oficialmente ao lado de UTIN, UCINCo, UCINCa, CPN e AGPAR — e não um indicador de qualidade assistencial; por isso NÃO figura entre os indicadores mapeáveis do painel. O dado permanece disponível apenas como característica do estabelecimento na exportação. Fonte: Portaria GM/MS 5.350/2024 (Seção “Da Habilitação dos Serviços Hospitalares de Referência à Gestação e ao Puerpério de Alto Risco — HGPAR”); Nota Técnica Conjunta 220.</w:t>
      </w:r>
    </w:p>
    <w:p>
      <w:pPr>
        <w:pStyle w:val="Heading2"/>
      </w:pPr>
      <w:r>
        <w:rPr>
          <w:color w:val="1B5F51"/>
        </w:rPr>
        <w:t>2.3 Cesárea</w:t>
      </w:r>
    </w:p>
    <w:p>
      <w:pPr>
        <w:spacing w:after="20" w:before="120"/>
      </w:pPr>
      <w:r>
        <w:rPr>
          <w:b/>
          <w:color w:val="1B5F51"/>
          <w:sz w:val="22"/>
        </w:rPr>
        <w:t>% Cesariana</w:t>
      </w:r>
    </w:p>
    <w:p>
      <w:pPr>
        <w:spacing w:after="40"/>
      </w:pPr>
      <w:r>
        <w:rPr>
          <w:b w:val="0"/>
          <w:i w:val="0"/>
          <w:sz w:val="20"/>
        </w:rPr>
        <w:t>Proporção de nascimentos por cesárea — o indicador-síntese do modelo de atenção ao parto. Taxas muito acima do necessário associam-se a maior morbimortalidade materna e neonatal, prematuridade iatrogênica e internações neonatais, sem ganho de desfecho. A OMS considera 10–15% a faixa populacional ideal; a Rede Alyne adota ≤ 35% como valor de referência de meta por estabelecimento.</w:t>
      </w:r>
    </w:p>
    <w:p>
      <w:pPr>
        <w:spacing w:after="80"/>
        <w:ind w:left="227"/>
      </w:pPr>
      <w:r>
        <w:rPr>
          <w:b/>
          <w:color w:val="1B5F51"/>
          <w:sz w:val="18"/>
        </w:rPr>
        <w:t xml:space="preserve">Cálculo: </w:t>
      </w:r>
      <w:r>
        <w:rPr>
          <w:color w:val="5A6B62"/>
          <w:sz w:val="18"/>
        </w:rPr>
        <w:t xml:space="preserve">Σ cesáreas ÷ Σ partos × 100 (cesárea = operação cesariana + c/ laqueadura + em GAR)    </w:t>
      </w:r>
      <w:r>
        <w:rPr>
          <w:b/>
          <w:color w:val="1B5F51"/>
          <w:sz w:val="18"/>
        </w:rPr>
        <w:t xml:space="preserve">Adequação: </w:t>
      </w:r>
      <w:r>
        <w:rPr>
          <w:color w:val="5A6B62"/>
          <w:sz w:val="18"/>
        </w:rPr>
        <w:t xml:space="preserve">META OFICIAL ≤ 35%    </w:t>
      </w:r>
      <w:r>
        <w:rPr>
          <w:b/>
          <w:color w:val="1B5F51"/>
          <w:sz w:val="18"/>
        </w:rPr>
        <w:t xml:space="preserve">Fonte: </w:t>
      </w:r>
      <w:r>
        <w:rPr>
          <w:color w:val="5A6B62"/>
          <w:sz w:val="18"/>
        </w:rPr>
        <w:t xml:space="preserve">Dados: SINASC (via de parto na DNV). Meta: Portaria GM/MS 5.350/2024, Art. 47, XVIII; ref. OMS (2015). Nacional 2024: 51,6%.    </w:t>
      </w:r>
    </w:p>
    <w:p>
      <w:pPr>
        <w:spacing w:after="20" w:before="120"/>
      </w:pPr>
      <w:r>
        <w:rPr>
          <w:b/>
          <w:color w:val="1B5F51"/>
          <w:sz w:val="22"/>
        </w:rPr>
        <w:t>Grupos de Robson — adequação G1, G2, G3, G4</w:t>
      </w:r>
    </w:p>
    <w:p>
      <w:pPr>
        <w:spacing w:after="40"/>
      </w:pPr>
      <w:r>
        <w:rPr>
          <w:b w:val="0"/>
          <w:i w:val="0"/>
          <w:sz w:val="20"/>
        </w:rPr>
        <w:t>A Classificação de Robson (recomendada pela OMS) divide todas as gestantes em 10 grupos mutuamente exclusivos a partir de características obstétricas (paridade, cesárea anterior, início do trabalho de parto, idade gestacional, apresentação e número de fetos), permitindo comparar e monitorar as taxas de cesárea de forma padronizada. O painel acompanha os quatro grupos de menor risco, onde há maior potencial de redução: G1 (nulípara, feto único cefálico, ≥ 37 sem, trabalho espontâneo); G2 (nulípara, induzida ou cesárea antes do trabalho); G3 (multípara sem cesárea anterior, espontâneo); G4 (multípara, induzida/cesárea antes do trabalho). Cada indicador mostra o % de estabelecimentos considerados adequados no grupo.</w:t>
      </w:r>
    </w:p>
    <w:p>
      <w:pPr>
        <w:spacing w:after="80"/>
        <w:ind w:left="227"/>
      </w:pPr>
      <w:r>
        <w:rPr>
          <w:b/>
          <w:color w:val="1B5F51"/>
          <w:sz w:val="18"/>
        </w:rPr>
        <w:t xml:space="preserve">Cálculo: </w:t>
      </w:r>
      <w:r>
        <w:rPr>
          <w:color w:val="5A6B62"/>
          <w:sz w:val="18"/>
        </w:rPr>
        <w:t xml:space="preserve">% de estabelecimentos com classificação do grupo = adequado    </w:t>
      </w:r>
      <w:r>
        <w:rPr>
          <w:b/>
          <w:color w:val="1B5F51"/>
          <w:sz w:val="18"/>
        </w:rPr>
        <w:t xml:space="preserve">Adequação: </w:t>
      </w:r>
      <w:r>
        <w:rPr>
          <w:color w:val="5A6B62"/>
          <w:sz w:val="18"/>
        </w:rPr>
        <w:t xml:space="preserve">limiar de taxa de cesárea por grupo (institucional)    </w:t>
      </w:r>
      <w:r>
        <w:rPr>
          <w:b/>
          <w:color w:val="1B5F51"/>
          <w:sz w:val="18"/>
        </w:rPr>
        <w:t xml:space="preserve">Fonte: </w:t>
      </w:r>
      <w:r>
        <w:rPr>
          <w:color w:val="5A6B62"/>
          <w:sz w:val="18"/>
        </w:rPr>
        <w:t xml:space="preserve">Dados: SINASC (DNV: paridade, idade gestacional, apresentação, via de parto). Método: WHO — Robson Classification Manual (2017); limiares da planilha.    </w:t>
      </w:r>
    </w:p>
    <w:p>
      <w:pPr>
        <w:pStyle w:val="Heading2"/>
      </w:pPr>
      <w:r>
        <w:rPr>
          <w:color w:val="1B5F51"/>
        </w:rPr>
        <w:t>2.4 Boas práticas</w:t>
      </w:r>
    </w:p>
    <w:p>
      <w:pPr>
        <w:spacing w:after="20" w:before="120"/>
      </w:pPr>
      <w:r>
        <w:rPr>
          <w:b/>
          <w:color w:val="1B5F51"/>
          <w:sz w:val="22"/>
        </w:rPr>
        <w:t>Parto vaginal assistido por enfermagem obstétrica</w:t>
      </w:r>
    </w:p>
    <w:p>
      <w:pPr>
        <w:spacing w:after="40"/>
      </w:pPr>
      <w:r>
        <w:rPr>
          <w:b w:val="0"/>
          <w:i w:val="0"/>
          <w:sz w:val="20"/>
        </w:rPr>
        <w:t>Proporção adequada de partos vaginais assistidos por enfermeiras obstétricas/obstetrizes. O cuidado contínuo e de baixa intervenção conduzido pela enfermagem obstétrica associa-se a menos cesáreas, menos episiotomias e melhores desfechos, sendo eixo central da qualificação da atenção ao parto no SUS.</w:t>
      </w:r>
    </w:p>
    <w:p>
      <w:pPr>
        <w:spacing w:after="80"/>
        <w:ind w:left="227"/>
      </w:pPr>
      <w:r>
        <w:rPr>
          <w:b/>
          <w:color w:val="1B5F51"/>
          <w:sz w:val="18"/>
        </w:rPr>
        <w:t xml:space="preserve">Cálculo: </w:t>
      </w:r>
      <w:r>
        <w:rPr>
          <w:color w:val="5A6B62"/>
          <w:sz w:val="18"/>
        </w:rPr>
        <w:t xml:space="preserve">% de estabelecimentos adequados    </w:t>
      </w:r>
      <w:r>
        <w:rPr>
          <w:b/>
          <w:color w:val="1B5F51"/>
          <w:sz w:val="18"/>
        </w:rPr>
        <w:t xml:space="preserve">Adequação: </w:t>
      </w:r>
      <w:r>
        <w:rPr>
          <w:color w:val="5A6B62"/>
          <w:sz w:val="18"/>
        </w:rPr>
        <w:t xml:space="preserve">institucional (classificação da planilha)    </w:t>
      </w:r>
      <w:r>
        <w:rPr>
          <w:b/>
          <w:color w:val="1B5F51"/>
          <w:sz w:val="18"/>
        </w:rPr>
        <w:t xml:space="preserve">Fonte: </w:t>
      </w:r>
      <w:r>
        <w:rPr>
          <w:color w:val="5A6B62"/>
          <w:sz w:val="18"/>
        </w:rPr>
        <w:t xml:space="preserve">Dados: SINASC (DNV: parto atendido por enfermeira obstétrica / obstetriz). Ref.: Rede Alyne; Parto Adequado (ANS).    </w:t>
      </w:r>
    </w:p>
    <w:p>
      <w:pPr>
        <w:spacing w:after="20" w:before="120"/>
      </w:pPr>
      <w:r>
        <w:rPr>
          <w:b/>
          <w:color w:val="1B5F51"/>
          <w:sz w:val="22"/>
        </w:rPr>
        <w:t>Mediana do % de AMIU</w:t>
      </w:r>
    </w:p>
    <w:p>
      <w:pPr>
        <w:spacing w:after="40"/>
      </w:pPr>
      <w:r>
        <w:rPr>
          <w:b w:val="0"/>
          <w:i w:val="0"/>
          <w:sz w:val="20"/>
        </w:rPr>
        <w:t>A Aspiração Manual Intrauterina (AMIU) é a técnica recomendada pela OMS para o esvaziamento uterino no abortamento e em restos ovulares, por ser mais segura, ambulatorial e menos traumática que a curetagem. O painel mostra a mediana do % de AMIU entre os estabelecimentos do território.</w:t>
      </w:r>
    </w:p>
    <w:p>
      <w:pPr>
        <w:spacing w:after="80"/>
        <w:ind w:left="227"/>
      </w:pPr>
      <w:r>
        <w:rPr>
          <w:b/>
          <w:color w:val="1B5F51"/>
          <w:sz w:val="18"/>
        </w:rPr>
        <w:t xml:space="preserve">Cálculo: </w:t>
      </w:r>
      <w:r>
        <w:rPr>
          <w:color w:val="5A6B62"/>
          <w:sz w:val="18"/>
        </w:rPr>
        <w:t xml:space="preserve">mediana do % de AMIU entre os estabelecimentos    </w:t>
      </w:r>
      <w:r>
        <w:rPr>
          <w:b/>
          <w:color w:val="1B5F51"/>
          <w:sz w:val="18"/>
        </w:rPr>
        <w:t xml:space="preserve">Adequação: </w:t>
      </w:r>
      <w:r>
        <w:rPr>
          <w:color w:val="5A6B62"/>
          <w:sz w:val="18"/>
        </w:rPr>
        <w:t xml:space="preserve">no selo, adequado ≥ 50% (institucional)    </w:t>
      </w:r>
      <w:r>
        <w:rPr>
          <w:b/>
          <w:color w:val="1B5F51"/>
          <w:sz w:val="18"/>
        </w:rPr>
        <w:t xml:space="preserve">Fonte: </w:t>
      </w:r>
      <w:r>
        <w:rPr>
          <w:color w:val="5A6B62"/>
          <w:sz w:val="18"/>
        </w:rPr>
        <w:t xml:space="preserve">Dados: SIH/SUS (procedimentos — AMIU vs. curetagem). Ref.: OMS / FEBRASGO — atenção ao abortamento.    </w:t>
      </w:r>
    </w:p>
    <w:p>
      <w:pPr>
        <w:spacing w:after="20" w:before="120"/>
      </w:pPr>
      <w:r>
        <w:rPr>
          <w:b/>
          <w:color w:val="1B5F51"/>
          <w:sz w:val="22"/>
        </w:rPr>
        <w:t>% Asfixia adequada</w:t>
      </w:r>
    </w:p>
    <w:p>
      <w:pPr>
        <w:spacing w:after="40"/>
      </w:pPr>
      <w:r>
        <w:rPr>
          <w:b w:val="0"/>
          <w:i w:val="0"/>
          <w:sz w:val="20"/>
        </w:rPr>
        <w:t>Asfixia intraparto, medida pela proporção de recém-nascidos com Apgar menor que 7 no 5º minuto entre os nascidos com ≥ 2500 g e sem malformação. É um marcador sensível da qualidade da assistência ao parto — óbitos e sequelas por asfixia em recém-nascidos a termo são, em grande parte, evitáveis. O painel mostra o % de estabelecimentos com resultado adequado (baixa asfixia).</w:t>
      </w:r>
    </w:p>
    <w:p>
      <w:pPr>
        <w:spacing w:after="80"/>
        <w:ind w:left="227"/>
      </w:pPr>
      <w:r>
        <w:rPr>
          <w:b/>
          <w:color w:val="1B5F51"/>
          <w:sz w:val="18"/>
        </w:rPr>
        <w:t xml:space="preserve">Cálculo: </w:t>
      </w:r>
      <w:r>
        <w:rPr>
          <w:color w:val="5A6B62"/>
          <w:sz w:val="18"/>
        </w:rPr>
        <w:t xml:space="preserve">% de estabelecimentos com classificação de asfixia = adequado    </w:t>
      </w:r>
      <w:r>
        <w:rPr>
          <w:b/>
          <w:color w:val="1B5F51"/>
          <w:sz w:val="18"/>
        </w:rPr>
        <w:t xml:space="preserve">Adequação: </w:t>
      </w:r>
      <w:r>
        <w:rPr>
          <w:color w:val="5A6B62"/>
          <w:sz w:val="18"/>
        </w:rPr>
        <w:t xml:space="preserve">institucional (baixa taxa de Apgar &lt; 7)    </w:t>
      </w:r>
      <w:r>
        <w:rPr>
          <w:b/>
          <w:color w:val="1B5F51"/>
          <w:sz w:val="18"/>
        </w:rPr>
        <w:t xml:space="preserve">Fonte: </w:t>
      </w:r>
      <w:r>
        <w:rPr>
          <w:color w:val="5A6B62"/>
          <w:sz w:val="18"/>
        </w:rPr>
        <w:t xml:space="preserve">Dados: SINASC (DNV: Apgar no 5º min e peso ao nascer). Ref.: pesquisa Nascer no Brasil; vigilância do óbito perinatal.    </w:t>
      </w:r>
    </w:p>
    <w:p>
      <w:pPr>
        <w:pStyle w:val="Heading2"/>
      </w:pPr>
      <w:r>
        <w:rPr>
          <w:color w:val="1B5F51"/>
        </w:rPr>
        <w:t>2.5 Contracepção</w:t>
      </w:r>
    </w:p>
    <w:p>
      <w:pPr>
        <w:spacing w:after="20" w:before="120"/>
      </w:pPr>
      <w:r>
        <w:rPr>
          <w:b/>
          <w:color w:val="1B5F51"/>
          <w:sz w:val="22"/>
        </w:rPr>
        <w:t>% Contracepção adequada</w:t>
      </w:r>
    </w:p>
    <w:p>
      <w:pPr>
        <w:spacing w:after="40"/>
      </w:pPr>
      <w:r>
        <w:rPr>
          <w:b w:val="0"/>
          <w:i w:val="0"/>
          <w:sz w:val="20"/>
        </w:rPr>
        <w:t>Oferta de contracepção reversível de longa ação (LARC: DIU e implante subdérmico) no pós-parto e pós-abortamento imediato. A inserção antes da alta amplia o acesso e previne gestações não planejadas e de curto intervalo, com forte impacto na saúde materna. O painel mostra o % de estabelecimentos com oferta adequada.</w:t>
      </w:r>
    </w:p>
    <w:p>
      <w:pPr>
        <w:spacing w:after="80"/>
        <w:ind w:left="227"/>
      </w:pPr>
      <w:r>
        <w:rPr>
          <w:b/>
          <w:color w:val="1B5F51"/>
          <w:sz w:val="18"/>
        </w:rPr>
        <w:t xml:space="preserve">Cálculo: </w:t>
      </w:r>
      <w:r>
        <w:rPr>
          <w:color w:val="5A6B62"/>
          <w:sz w:val="18"/>
        </w:rPr>
        <w:t xml:space="preserve">% de estabelecimentos com classificação de contracepção = SIM    </w:t>
      </w:r>
      <w:r>
        <w:rPr>
          <w:b/>
          <w:color w:val="1B5F51"/>
          <w:sz w:val="18"/>
        </w:rPr>
        <w:t xml:space="preserve">Adequação: </w:t>
      </w:r>
      <w:r>
        <w:rPr>
          <w:color w:val="5A6B62"/>
          <w:sz w:val="18"/>
        </w:rPr>
        <w:t xml:space="preserve">institucional (DIU + implante inseridos no ano, conforme planilha)    </w:t>
      </w:r>
      <w:r>
        <w:rPr>
          <w:b/>
          <w:color w:val="1B5F51"/>
          <w:sz w:val="18"/>
        </w:rPr>
        <w:t xml:space="preserve">Fonte: </w:t>
      </w:r>
      <w:r>
        <w:rPr>
          <w:color w:val="5A6B62"/>
          <w:sz w:val="18"/>
        </w:rPr>
        <w:t xml:space="preserve">Dados: SIH/SUS (procedimentos de inserção de DIU e implante). Ref.: Nota Técnica de Ampliação do DIU (MS / IFF-Fiocruz); Rede Alyne.    </w:t>
      </w:r>
    </w:p>
    <w:p>
      <w:pPr>
        <w:pStyle w:val="Heading2"/>
      </w:pPr>
      <w:r>
        <w:rPr>
          <w:color w:val="1B5F51"/>
        </w:rPr>
        <w:t>2.6 Violência sexual</w:t>
      </w:r>
    </w:p>
    <w:p>
      <w:pPr>
        <w:spacing w:after="20" w:before="120"/>
      </w:pPr>
      <w:r>
        <w:rPr>
          <w:b/>
          <w:color w:val="1B5F51"/>
          <w:sz w:val="22"/>
        </w:rPr>
        <w:t>% que atendem violência sexual</w:t>
      </w:r>
    </w:p>
    <w:p>
      <w:pPr>
        <w:spacing w:after="40"/>
      </w:pPr>
      <w:r>
        <w:rPr>
          <w:b w:val="0"/>
          <w:i w:val="0"/>
          <w:sz w:val="20"/>
        </w:rPr>
        <w:t>Proporção de estabelecimentos que atendem vítimas de violência sexual. A maternidade/hospital é porta de entrada essencial para acolhimento, profilaxias (IST/HIV), contracepção de emergência e notificação compulsória. A Rede Alyne inclui a atenção à violência entre suas ações.</w:t>
      </w:r>
    </w:p>
    <w:p>
      <w:pPr>
        <w:spacing w:after="80"/>
        <w:ind w:left="227"/>
      </w:pPr>
      <w:r>
        <w:rPr>
          <w:b/>
          <w:color w:val="1B5F51"/>
          <w:sz w:val="18"/>
        </w:rPr>
        <w:t xml:space="preserve">Cálculo: </w:t>
      </w:r>
      <w:r>
        <w:rPr>
          <w:color w:val="5A6B62"/>
          <w:sz w:val="18"/>
        </w:rPr>
        <w:t xml:space="preserve">% de estabelecimentos com classificação = SIM    </w:t>
      </w:r>
      <w:r>
        <w:rPr>
          <w:b/>
          <w:color w:val="1B5F51"/>
          <w:sz w:val="18"/>
        </w:rPr>
        <w:t xml:space="preserve">Adequação: </w:t>
      </w:r>
      <w:r>
        <w:rPr>
          <w:color w:val="5A6B62"/>
          <w:sz w:val="18"/>
        </w:rPr>
        <w:t xml:space="preserve">institucional (atendimentos registrados no ano)    </w:t>
      </w:r>
      <w:r>
        <w:rPr>
          <w:b/>
          <w:color w:val="1B5F51"/>
          <w:sz w:val="18"/>
        </w:rPr>
        <w:t xml:space="preserve">Fonte: </w:t>
      </w:r>
      <w:r>
        <w:rPr>
          <w:color w:val="5A6B62"/>
          <w:sz w:val="18"/>
        </w:rPr>
        <w:t xml:space="preserve">Dados: nº de atendimentos a vítimas de violência sexual (registro SUS). Ref.: Rede Alyne; Convenção de Belém do Pará (1994).    </w:t>
      </w:r>
    </w:p>
    <w:p>
      <w:pPr>
        <w:pStyle w:val="Heading2"/>
      </w:pPr>
      <w:r>
        <w:rPr>
          <w:color w:val="1B5F51"/>
        </w:rPr>
        <w:t>2.7 SMCon</w:t>
      </w:r>
    </w:p>
    <w:p>
      <w:pPr>
        <w:spacing w:after="20" w:before="120"/>
      </w:pPr>
      <w:r>
        <w:rPr>
          <w:b/>
          <w:color w:val="1B5F51"/>
          <w:sz w:val="22"/>
        </w:rPr>
        <w:t>SMCON — neonatal, obstétrico e (neonatal ou obstétrico)</w:t>
      </w:r>
    </w:p>
    <w:p>
      <w:pPr>
        <w:spacing w:after="40"/>
      </w:pPr>
      <w:r>
        <w:rPr>
          <w:b w:val="0"/>
          <w:i w:val="0"/>
          <w:sz w:val="20"/>
        </w:rPr>
        <w:t>O Sistema de Monitoramento do Cuidado Obstétrico e Neonatal (SMCON), desenvolvido pelo IFF/Fiocruz no âmbito da Estratégia Qualineo, é uma plataforma de coleta e análise de dados clínicos que apoia a melhoria contínua das boas práticas. Os indicadores mostram se o estabelecimento alimenta o módulo neonatal, o módulo obstétrico, ou pelo menos um deles — refletindo a adesão ao monitoramento qualificado.</w:t>
      </w:r>
    </w:p>
    <w:p>
      <w:pPr>
        <w:spacing w:after="80"/>
        <w:ind w:left="227"/>
      </w:pPr>
      <w:r>
        <w:rPr>
          <w:b/>
          <w:color w:val="1B5F51"/>
          <w:sz w:val="18"/>
        </w:rPr>
        <w:t xml:space="preserve">Cálculo: </w:t>
      </w:r>
      <w:r>
        <w:rPr>
          <w:color w:val="5A6B62"/>
          <w:sz w:val="18"/>
        </w:rPr>
        <w:t xml:space="preserve">% de estabelecimentos com SMCON neonatal / obstétrico = ok (ou pelo menos um)    </w:t>
      </w:r>
      <w:r>
        <w:rPr>
          <w:b/>
          <w:color w:val="1B5F51"/>
          <w:sz w:val="18"/>
        </w:rPr>
        <w:t xml:space="preserve">Adequação: </w:t>
      </w:r>
      <w:r>
        <w:rPr>
          <w:color w:val="5A6B62"/>
          <w:sz w:val="18"/>
        </w:rPr>
        <w:t xml:space="preserve">alimentar o(s) módulo(s) do SMCON    </w:t>
      </w:r>
      <w:r>
        <w:rPr>
          <w:b/>
          <w:color w:val="1B5F51"/>
          <w:sz w:val="18"/>
        </w:rPr>
        <w:t xml:space="preserve">Fonte: </w:t>
      </w:r>
      <w:r>
        <w:rPr>
          <w:color w:val="5A6B62"/>
          <w:sz w:val="18"/>
        </w:rPr>
        <w:t xml:space="preserve">IFF/Fiocruz — Instrutivo do SMCON (Estratégia Qualineo).    </w:t>
      </w:r>
    </w:p>
    <w:p>
      <w:pPr>
        <w:pStyle w:val="Heading1"/>
      </w:pPr>
      <w:r>
        <w:rPr>
          <w:color w:val="0A213D"/>
        </w:rPr>
        <w:t>3. O selo de qualidade</w:t>
      </w:r>
    </w:p>
    <w:p>
      <w:pPr>
        <w:spacing w:after="80"/>
      </w:pPr>
      <w:r>
        <w:rPr>
          <w:b w:val="0"/>
          <w:i w:val="0"/>
          <w:sz w:val="21"/>
        </w:rPr>
        <w:t>O selo reconhece estabelecimentos com 5 ou mais dos 9 indicadores classificatórios adequados. É o campo oficial da planilha e corresponde exatamente a “número de indicadores adequados ≥ 5”.</w:t>
      </w:r>
    </w:p>
    <w:p>
      <w:pPr>
        <w:spacing w:after="40"/>
      </w:pPr>
      <w:r>
        <w:rPr>
          <w:b/>
          <w:i w:val="0"/>
          <w:sz w:val="20"/>
        </w:rPr>
        <w:t>Os 9 indicadores classificatórios:</w:t>
      </w:r>
    </w:p>
    <w:p>
      <w:pPr>
        <w:pStyle w:val="ListBullet"/>
      </w:pPr>
      <w:r>
        <w:rPr>
          <w:sz w:val="19"/>
        </w:rPr>
        <w:t>1. Asfixia (Apgar &lt; 7 no 5º min, ≥ 2500 g sem anomalias)</w:t>
      </w:r>
    </w:p>
    <w:p>
      <w:pPr>
        <w:pStyle w:val="ListBullet"/>
      </w:pPr>
      <w:r>
        <w:rPr>
          <w:sz w:val="19"/>
        </w:rPr>
        <w:t>2. Enfermagem obstétrica (parto vaginal assistido)</w:t>
      </w:r>
    </w:p>
    <w:p>
      <w:pPr>
        <w:pStyle w:val="ListBullet"/>
      </w:pPr>
      <w:r>
        <w:rPr>
          <w:sz w:val="19"/>
        </w:rPr>
        <w:t>3. AMIU</w:t>
      </w:r>
    </w:p>
    <w:p>
      <w:pPr>
        <w:pStyle w:val="ListBullet"/>
      </w:pPr>
      <w:r>
        <w:rPr>
          <w:sz w:val="19"/>
        </w:rPr>
        <w:t>4. Robson ≥ 2 grupos (adequado em ≥ 2 dos 4 grupos)</w:t>
      </w:r>
    </w:p>
    <w:p>
      <w:pPr>
        <w:pStyle w:val="ListBullet"/>
      </w:pPr>
      <w:r>
        <w:rPr>
          <w:sz w:val="19"/>
        </w:rPr>
        <w:t>5. Contracepção (DIU + implante)</w:t>
      </w:r>
    </w:p>
    <w:p>
      <w:pPr>
        <w:pStyle w:val="ListBullet"/>
      </w:pPr>
      <w:r>
        <w:rPr>
          <w:sz w:val="19"/>
        </w:rPr>
        <w:t>6. Violência sexual</w:t>
      </w:r>
    </w:p>
    <w:p>
      <w:pPr>
        <w:pStyle w:val="ListBullet"/>
      </w:pPr>
      <w:r>
        <w:rPr>
          <w:sz w:val="19"/>
        </w:rPr>
        <w:t>7. SMCON neonatal</w:t>
      </w:r>
    </w:p>
    <w:p>
      <w:pPr>
        <w:pStyle w:val="ListBullet"/>
      </w:pPr>
      <w:r>
        <w:rPr>
          <w:sz w:val="19"/>
        </w:rPr>
        <w:t>8. SMCON obstétrico</w:t>
      </w:r>
    </w:p>
    <w:p>
      <w:pPr>
        <w:pStyle w:val="ListBullet"/>
      </w:pPr>
      <w:r>
        <w:rPr>
          <w:sz w:val="19"/>
        </w:rPr>
        <w:t>9. Unidade neonatal completa</w:t>
      </w:r>
    </w:p>
    <w:p>
      <w:pPr>
        <w:spacing w:after="40"/>
      </w:pPr>
      <w:r>
        <w:rPr>
          <w:b/>
          <w:i w:val="0"/>
          <w:sz w:val="20"/>
        </w:rPr>
        <w:t>Duas regras importantes:</w:t>
      </w:r>
    </w:p>
    <w:p>
      <w:pPr>
        <w:pStyle w:val="ListBullet"/>
      </w:pPr>
      <w:r>
        <w:rPr>
          <w:sz w:val="20"/>
        </w:rPr>
        <w:t>“Unidade neonatal completa” conta como adequada quando é SIM ou “não se aplica” (não penaliza maternidades de risco habitual).</w:t>
      </w:r>
    </w:p>
    <w:p>
      <w:pPr>
        <w:pStyle w:val="ListBullet"/>
      </w:pPr>
      <w:r>
        <w:rPr>
          <w:sz w:val="20"/>
        </w:rPr>
        <w:t>Robson ≥ 2 grupos é um dos 9 indicadores contados — NÃO é uma exigência à parte. Há estabelecimentos com selo sem Robson ≥ 2 grupos.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shd w:val="clear" w:fill="0A213D"/>
            <w:tcW w:w="2834" w:type="dxa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9"/>
              </w:rPr>
              <w:t>Estágio</w:t>
            </w:r>
          </w:p>
        </w:tc>
        <w:tc>
          <w:tcPr>
            <w:tcW w:type="dxa" w:w="6293"/>
            <w:shd w:val="clear" w:fill="0A213D"/>
            <w:tcW w:w="6292" w:type="dxa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9"/>
              </w:rPr>
              <w:t>Critério</w:t>
            </w:r>
          </w:p>
        </w:tc>
      </w:tr>
      <w:tr>
        <w:tc>
          <w:tcPr>
            <w:tcW w:type="dxa" w:w="2835"/>
            <w:tcW w:w="2834" w:type="dxa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Com selo</w:t>
            </w:r>
          </w:p>
        </w:tc>
        <w:tc>
          <w:tcPr>
            <w:tcW w:type="dxa" w:w="6293"/>
            <w:tcW w:w="6292" w:type="dxa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5 ou mais indicadores adequados</w:t>
            </w:r>
          </w:p>
        </w:tc>
      </w:tr>
      <w:tr>
        <w:tc>
          <w:tcPr>
            <w:tcW w:type="dxa" w:w="2835"/>
            <w:shd w:val="clear" w:fill="F0F5F2"/>
            <w:tcW w:w="2834" w:type="dxa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Quase lá</w:t>
            </w:r>
          </w:p>
        </w:tc>
        <w:tc>
          <w:tcPr>
            <w:tcW w:type="dxa" w:w="6293"/>
            <w:shd w:val="clear" w:fill="F0F5F2"/>
            <w:tcW w:w="6292" w:type="dxa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4 indicadores adequados</w:t>
            </w:r>
          </w:p>
        </w:tc>
      </w:tr>
      <w:tr>
        <w:tc>
          <w:tcPr>
            <w:tcW w:type="dxa" w:w="2835"/>
            <w:tcW w:w="2834" w:type="dxa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No caminho</w:t>
            </w:r>
          </w:p>
        </w:tc>
        <w:tc>
          <w:tcPr>
            <w:tcW w:type="dxa" w:w="6293"/>
            <w:tcW w:w="6292" w:type="dxa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2 a 3 indicadores adequados</w:t>
            </w:r>
          </w:p>
        </w:tc>
      </w:tr>
      <w:tr>
        <w:tc>
          <w:tcPr>
            <w:tcW w:type="dxa" w:w="2835"/>
            <w:shd w:val="clear" w:fill="F0F5F2"/>
            <w:tcW w:w="2834" w:type="dxa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Início da jornada</w:t>
            </w:r>
          </w:p>
        </w:tc>
        <w:tc>
          <w:tcPr>
            <w:tcW w:type="dxa" w:w="6293"/>
            <w:shd w:val="clear" w:fill="F0F5F2"/>
            <w:tcW w:w="6292" w:type="dxa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0 a 1 indicador adequado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color w:val="0A213D"/>
        </w:rPr>
        <w:t>4. Resultados nacionais (2024) — referência</w:t>
      </w:r>
    </w:p>
    <w:p>
      <w:pPr>
        <w:spacing w:after="80"/>
      </w:pPr>
      <w:r>
        <w:rPr>
          <w:b w:val="0"/>
          <w:i/>
          <w:sz w:val="19"/>
        </w:rPr>
        <w:t>Valores agregados de todos os 543 estabelecimentos, para conferência.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608"/>
            <w:shd w:val="clear" w:fill="0A213D"/>
            <w:tcW w:w="2607" w:type="dxa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9"/>
              </w:rPr>
              <w:t>Indicador</w:t>
            </w:r>
          </w:p>
        </w:tc>
        <w:tc>
          <w:tcPr>
            <w:tcW w:type="dxa" w:w="1417"/>
            <w:shd w:val="clear" w:fill="0A213D"/>
            <w:tcW w:w="1417" w:type="dxa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9"/>
              </w:rPr>
              <w:t>Nacional</w:t>
            </w:r>
          </w:p>
        </w:tc>
        <w:tc>
          <w:tcPr>
            <w:tcW w:type="dxa" w:w="2608"/>
            <w:shd w:val="clear" w:fill="0A213D"/>
            <w:tcW w:w="2607" w:type="dxa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9"/>
              </w:rPr>
              <w:t>Indicador</w:t>
            </w:r>
          </w:p>
        </w:tc>
        <w:tc>
          <w:tcPr>
            <w:tcW w:type="dxa" w:w="1417"/>
            <w:shd w:val="clear" w:fill="0A213D"/>
            <w:tcW w:w="1417" w:type="dxa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9"/>
              </w:rPr>
              <w:t>Nacional</w:t>
            </w:r>
          </w:p>
        </w:tc>
      </w:tr>
      <w:tr>
        <w:tc>
          <w:tcPr>
            <w:tcW w:type="dxa" w:w="2608"/>
            <w:tcW w:w="2607" w:type="dxa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% Cesariana</w:t>
            </w:r>
          </w:p>
        </w:tc>
        <w:tc>
          <w:tcPr>
            <w:tcW w:type="dxa" w:w="1417"/>
            <w:tcW w:w="1417" w:type="dxa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51,6%</w:t>
            </w:r>
          </w:p>
        </w:tc>
        <w:tc>
          <w:tcPr>
            <w:tcW w:type="dxa" w:w="2608"/>
            <w:tcW w:w="2607" w:type="dxa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% Contracepção adequada</w:t>
            </w:r>
          </w:p>
        </w:tc>
        <w:tc>
          <w:tcPr>
            <w:tcW w:type="dxa" w:w="1417"/>
            <w:tcW w:w="1417" w:type="dxa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35,7%</w:t>
            </w:r>
          </w:p>
        </w:tc>
      </w:tr>
      <w:tr>
        <w:tc>
          <w:tcPr>
            <w:tcW w:type="dxa" w:w="2608"/>
            <w:shd w:val="clear" w:fill="F0F5F2"/>
            <w:tcW w:w="2607" w:type="dxa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% Adeq. Robson G1</w:t>
            </w:r>
          </w:p>
        </w:tc>
        <w:tc>
          <w:tcPr>
            <w:tcW w:type="dxa" w:w="1417"/>
            <w:shd w:val="clear" w:fill="F0F5F2"/>
            <w:tcW w:w="1417" w:type="dxa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41,8%</w:t>
            </w:r>
          </w:p>
        </w:tc>
        <w:tc>
          <w:tcPr>
            <w:tcW w:type="dxa" w:w="2608"/>
            <w:shd w:val="clear" w:fill="F0F5F2"/>
            <w:tcW w:w="2607" w:type="dxa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% Atende violência</w:t>
            </w:r>
          </w:p>
        </w:tc>
        <w:tc>
          <w:tcPr>
            <w:tcW w:type="dxa" w:w="1417"/>
            <w:shd w:val="clear" w:fill="F0F5F2"/>
            <w:tcW w:w="1417" w:type="dxa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41,4%</w:t>
            </w:r>
          </w:p>
        </w:tc>
      </w:tr>
      <w:tr>
        <w:tc>
          <w:tcPr>
            <w:tcW w:type="dxa" w:w="2608"/>
            <w:tcW w:w="2607" w:type="dxa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% Adeq. Robson G2</w:t>
            </w:r>
          </w:p>
        </w:tc>
        <w:tc>
          <w:tcPr>
            <w:tcW w:type="dxa" w:w="1417"/>
            <w:tcW w:w="1417" w:type="dxa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51,0%</w:t>
            </w:r>
          </w:p>
        </w:tc>
        <w:tc>
          <w:tcPr>
            <w:tcW w:type="dxa" w:w="2608"/>
            <w:tcW w:w="2607" w:type="dxa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% SMCON Neonatal</w:t>
            </w:r>
          </w:p>
        </w:tc>
        <w:tc>
          <w:tcPr>
            <w:tcW w:type="dxa" w:w="1417"/>
            <w:tcW w:w="1417" w:type="dxa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19,7%</w:t>
            </w:r>
          </w:p>
        </w:tc>
      </w:tr>
      <w:tr>
        <w:tc>
          <w:tcPr>
            <w:tcW w:type="dxa" w:w="2608"/>
            <w:shd w:val="clear" w:fill="F0F5F2"/>
            <w:tcW w:w="2607" w:type="dxa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% Adeq. Robson G3</w:t>
            </w:r>
          </w:p>
        </w:tc>
        <w:tc>
          <w:tcPr>
            <w:tcW w:type="dxa" w:w="1417"/>
            <w:shd w:val="clear" w:fill="F0F5F2"/>
            <w:tcW w:w="1417" w:type="dxa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38,9%</w:t>
            </w:r>
          </w:p>
        </w:tc>
        <w:tc>
          <w:tcPr>
            <w:tcW w:type="dxa" w:w="2608"/>
            <w:shd w:val="clear" w:fill="F0F5F2"/>
            <w:tcW w:w="2607" w:type="dxa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% SMCON Obstétrico</w:t>
            </w:r>
          </w:p>
        </w:tc>
        <w:tc>
          <w:tcPr>
            <w:tcW w:type="dxa" w:w="1417"/>
            <w:shd w:val="clear" w:fill="F0F5F2"/>
            <w:tcW w:w="1417" w:type="dxa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9,4%</w:t>
            </w:r>
          </w:p>
        </w:tc>
      </w:tr>
      <w:tr>
        <w:tc>
          <w:tcPr>
            <w:tcW w:type="dxa" w:w="2608"/>
            <w:tcW w:w="2607" w:type="dxa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% Adeq. Robson G4</w:t>
            </w:r>
          </w:p>
        </w:tc>
        <w:tc>
          <w:tcPr>
            <w:tcW w:type="dxa" w:w="1417"/>
            <w:tcW w:w="1417" w:type="dxa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50,1%</w:t>
            </w:r>
          </w:p>
        </w:tc>
        <w:tc>
          <w:tcPr>
            <w:tcW w:type="dxa" w:w="2608"/>
            <w:tcW w:w="2607" w:type="dxa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% SMCON (neo ou obst)</w:t>
            </w:r>
          </w:p>
        </w:tc>
        <w:tc>
          <w:tcPr>
            <w:tcW w:type="dxa" w:w="1417"/>
            <w:tcW w:w="1417" w:type="dxa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22,1%</w:t>
            </w:r>
          </w:p>
        </w:tc>
      </w:tr>
      <w:tr>
        <w:tc>
          <w:tcPr>
            <w:tcW w:type="dxa" w:w="2608"/>
            <w:shd w:val="clear" w:fill="F0F5F2"/>
            <w:tcW w:w="2607" w:type="dxa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Parto vaginal (enfermagem)</w:t>
            </w:r>
          </w:p>
        </w:tc>
        <w:tc>
          <w:tcPr>
            <w:tcW w:type="dxa" w:w="1417"/>
            <w:shd w:val="clear" w:fill="F0F5F2"/>
            <w:tcW w:w="1417" w:type="dxa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28,5%</w:t>
            </w:r>
          </w:p>
        </w:tc>
        <w:tc>
          <w:tcPr>
            <w:tcW w:type="dxa" w:w="2608"/>
            <w:shd w:val="clear" w:fill="F0F5F2"/>
            <w:tcW w:w="2607" w:type="dxa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% Neonatal completa</w:t>
            </w:r>
          </w:p>
        </w:tc>
        <w:tc>
          <w:tcPr>
            <w:tcW w:type="dxa" w:w="1417"/>
            <w:shd w:val="clear" w:fill="F0F5F2"/>
            <w:tcW w:w="1417" w:type="dxa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43,6%</w:t>
            </w:r>
          </w:p>
        </w:tc>
      </w:tr>
      <w:tr>
        <w:tc>
          <w:tcPr>
            <w:tcW w:type="dxa" w:w="2608"/>
            <w:tcW w:w="2607" w:type="dxa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% Asfixia adequada</w:t>
            </w:r>
          </w:p>
        </w:tc>
        <w:tc>
          <w:tcPr>
            <w:tcW w:type="dxa" w:w="1417"/>
            <w:tcW w:w="1417" w:type="dxa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71,5%</w:t>
            </w:r>
          </w:p>
        </w:tc>
        <w:tc>
          <w:tcPr>
            <w:tcW w:type="dxa" w:w="2608"/>
            <w:tcW w:w="2607" w:type="dxa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% com Selo</w:t>
            </w:r>
          </w:p>
        </w:tc>
        <w:tc>
          <w:tcPr>
            <w:tcW w:type="dxa" w:w="1417"/>
            <w:tcW w:w="1417" w:type="dxa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22,5% (122/543)</w:t>
            </w:r>
          </w:p>
        </w:tc>
      </w:tr>
      <w:tr>
        <w:tc>
          <w:tcPr>
            <w:tcW w:type="dxa" w:w="2608"/>
            <w:shd w:val="clear" w:fill="F0F5F2"/>
            <w:tcW w:w="2607" w:type="dxa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Mediana % AMIU</w:t>
            </w:r>
          </w:p>
        </w:tc>
        <w:tc>
          <w:tcPr>
            <w:tcW w:type="dxa" w:w="1417"/>
            <w:shd w:val="clear" w:fill="F0F5F2"/>
            <w:tcW w:w="1417" w:type="dxa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1,2%</w:t>
            </w:r>
          </w:p>
        </w:tc>
        <w:tc>
          <w:tcPr>
            <w:tcW w:type="dxa" w:w="2608"/>
            <w:shd w:val="clear" w:fill="F0F5F2"/>
            <w:tcW w:w="2607" w:type="dxa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1417"/>
            <w:shd w:val="clear" w:fill="F0F5F2"/>
            <w:tcW w:w="1417" w:type="dxa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color w:val="0A213D"/>
        </w:rPr>
        <w:t>5. Fontes e referências</w:t>
      </w:r>
    </w:p>
    <w:p>
      <w:pPr>
        <w:pStyle w:val="ListBullet"/>
      </w:pPr>
      <w:r>
        <w:rPr>
          <w:sz w:val="19"/>
        </w:rPr>
        <w:t>BRASIL. Ministério da Saúde. Portaria GM/MS nº 5.350, de 12 de setembro de 2024 — institui a Rede Alyne (Rede de Atenção Materna e Infantil) no SUS. Define a meta de referência de cesárea ≤ 35% e os requisitos de unidade neonatal.</w:t>
      </w:r>
    </w:p>
    <w:p>
      <w:pPr>
        <w:pStyle w:val="ListBullet"/>
      </w:pPr>
      <w:r>
        <w:rPr>
          <w:sz w:val="19"/>
        </w:rPr>
        <w:t>BRASIL. Ministério da Saúde. Portaria GM/MS nº 5.349, de 12 de setembro de 2024 — dispõe sobre o financiamento da Rede Alyne.</w:t>
      </w:r>
    </w:p>
    <w:p>
      <w:pPr>
        <w:pStyle w:val="ListBullet"/>
      </w:pPr>
      <w:r>
        <w:rPr>
          <w:sz w:val="19"/>
        </w:rPr>
        <w:t>BRASIL. Ministério da Saúde. Nota Técnica Conjunta nº 220 (SEI 0044549197) — orientações da Rede Alyne.</w:t>
      </w:r>
    </w:p>
    <w:p>
      <w:pPr>
        <w:pStyle w:val="ListBullet"/>
      </w:pPr>
      <w:r>
        <w:rPr>
          <w:sz w:val="19"/>
        </w:rPr>
        <w:t>BRASIL. Ministério da Saúde / SAES. Portaria SAES/MS nº 2.902, de 26 de junho de 2025 — atualiza os códigos de leitos e habilitações neonatais no CNES (UTIN II/III, UCINCo, UCINCa).</w:t>
      </w:r>
    </w:p>
    <w:p>
      <w:pPr>
        <w:pStyle w:val="ListBullet"/>
      </w:pPr>
      <w:r>
        <w:rPr>
          <w:sz w:val="19"/>
        </w:rPr>
        <w:t>IFF/FIOCRUZ. Instrutivo do Sistema de Monitoramento do Cuidado Obstétrico e Neonatal (SMCON) — módulos Parto/Nascimento/Abortamento e Cuidado Neonatal. Portal de Boas Práticas em Saúde da Mulher, da Criança e do Adolescente.</w:t>
      </w:r>
    </w:p>
    <w:p>
      <w:pPr>
        <w:pStyle w:val="ListBullet"/>
      </w:pPr>
      <w:r>
        <w:rPr>
          <w:sz w:val="19"/>
        </w:rPr>
        <w:t>MINISTÉRIO DA SAÚDE / IFF-FIOCRUZ. Nota Técnica de Ampliação do acesso ao DIU — contracepção reversível de longa ação no pós-parto e pós-abortamento.</w:t>
      </w:r>
    </w:p>
    <w:p>
      <w:pPr>
        <w:pStyle w:val="ListBullet"/>
      </w:pPr>
      <w:r>
        <w:rPr>
          <w:sz w:val="19"/>
        </w:rPr>
        <w:t>WORLD HEALTH ORGANIZATION. Robson Classification: Implementation Manual. Genebra: OMS, 2017.</w:t>
      </w:r>
    </w:p>
    <w:p>
      <w:pPr>
        <w:pStyle w:val="ListBullet"/>
      </w:pPr>
      <w:r>
        <w:rPr>
          <w:sz w:val="19"/>
        </w:rPr>
        <w:t>WORLD HEALTH ORGANIZATION. WHO Statement on Caesarean Section Rates. Genebra: OMS, 2015.</w:t>
      </w:r>
    </w:p>
    <w:p>
      <w:pPr>
        <w:pStyle w:val="ListBullet"/>
      </w:pPr>
      <w:r>
        <w:rPr>
          <w:sz w:val="19"/>
        </w:rPr>
        <w:t>AGÊNCIA NACIONAL DE SAÚDE SUPLEMENTAR (ANS). Fichas Técnicas dos Indicadores — Programa QualiSS / Monitoramento da Qualidade Hospitalar.</w:t>
      </w:r>
    </w:p>
    <w:p>
      <w:pPr>
        <w:pStyle w:val="ListBullet"/>
      </w:pPr>
      <w:r>
        <w:rPr>
          <w:sz w:val="19"/>
        </w:rPr>
        <w:t>Dados-fonte do painel: SINASC, CNES e SIH/SUS (extração de 01/07/2026).</w:t>
      </w:r>
    </w:p>
    <w:p>
      <w:pPr>
        <w:pStyle w:val="Heading1"/>
      </w:pPr>
      <w:r>
        <w:rPr>
          <w:color w:val="0A213D"/>
        </w:rPr>
        <w:t>6. Oficial × institucional e auditoria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5102"/>
            <w:shd w:val="clear" w:fill="0A213D"/>
            <w:tcW w:w="5102" w:type="dxa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9"/>
              </w:rPr>
              <w:t>Item</w:t>
            </w:r>
          </w:p>
        </w:tc>
        <w:tc>
          <w:tcPr>
            <w:tcW w:type="dxa" w:w="4025"/>
            <w:shd w:val="clear" w:fill="0A213D"/>
            <w:tcW w:w="4025" w:type="dxa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9"/>
              </w:rPr>
              <w:t>Situação</w:t>
            </w:r>
          </w:p>
        </w:tc>
      </w:tr>
      <w:tr>
        <w:tc>
          <w:tcPr>
            <w:tcW w:type="dxa" w:w="5102"/>
            <w:tcW w:w="5102" w:type="dxa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Taxa de cesárea ≤ 35%</w:t>
            </w:r>
          </w:p>
        </w:tc>
        <w:tc>
          <w:tcPr>
            <w:tcW w:type="dxa" w:w="4025"/>
            <w:tcW w:w="4025" w:type="dxa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OFICIAL — Rede Alyne (Portaria 5.350/2024)</w:t>
            </w:r>
          </w:p>
        </w:tc>
      </w:tr>
      <w:tr>
        <w:tc>
          <w:tcPr>
            <w:tcW w:type="dxa" w:w="5102"/>
            <w:shd w:val="clear" w:fill="F0F5F2"/>
            <w:tcW w:w="5102" w:type="dxa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Definição de “unidade neonatal completa”</w:t>
            </w:r>
          </w:p>
        </w:tc>
        <w:tc>
          <w:tcPr>
            <w:tcW w:type="dxa" w:w="4025"/>
            <w:shd w:val="clear" w:fill="F0F5F2"/>
            <w:tcW w:w="4025" w:type="dxa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OFICIAL — habilitações CNES (Portaria 2.902/2025)</w:t>
            </w:r>
          </w:p>
        </w:tc>
      </w:tr>
      <w:tr>
        <w:tc>
          <w:tcPr>
            <w:tcW w:type="dxa" w:w="5102"/>
            <w:tcW w:w="5102" w:type="dxa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Dados-fonte do painel</w:t>
            </w:r>
          </w:p>
        </w:tc>
        <w:tc>
          <w:tcPr>
            <w:tcW w:type="dxa" w:w="4025"/>
            <w:tcW w:w="4025" w:type="dxa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OFICIAL — SINASC (nascidos vivos/DNV), SIH/SUS (procedimentos), CNES (cadastro)</w:t>
            </w:r>
          </w:p>
        </w:tc>
      </w:tr>
      <w:tr>
        <w:tc>
          <w:tcPr>
            <w:tcW w:type="dxa" w:w="5102"/>
            <w:shd w:val="clear" w:fill="F0F5F2"/>
            <w:tcW w:w="5102" w:type="dxa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Definições das variáveis clínicas (via de parto, Apgar, etc.)</w:t>
            </w:r>
          </w:p>
        </w:tc>
        <w:tc>
          <w:tcPr>
            <w:tcW w:type="dxa" w:w="4025"/>
            <w:shd w:val="clear" w:fill="F0F5F2"/>
            <w:tcW w:w="4025" w:type="dxa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DNV/SINASC; alinhadas ao Instrutivo SMCON (IFF/Fiocruz)</w:t>
            </w:r>
          </w:p>
        </w:tc>
      </w:tr>
      <w:tr>
        <w:tc>
          <w:tcPr>
            <w:tcW w:type="dxa" w:w="5102"/>
            <w:tcW w:w="5102" w:type="dxa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Limiares de adequação (asfixia, enfermagem, AMIU, Robson por grupo, contracepção, violência)</w:t>
            </w:r>
          </w:p>
        </w:tc>
        <w:tc>
          <w:tcPr>
            <w:tcW w:type="dxa" w:w="4025"/>
            <w:tcW w:w="4025" w:type="dxa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INSTITUCIONAL — não constam em ato oficial publicado</w:t>
            </w:r>
          </w:p>
        </w:tc>
      </w:tr>
      <w:tr>
        <w:tc>
          <w:tcPr>
            <w:tcW w:type="dxa" w:w="5102"/>
            <w:shd w:val="clear" w:fill="F0F5F2"/>
            <w:tcW w:w="5102" w:type="dxa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Selo (≥ 5 de 9 indicadores)</w:t>
            </w:r>
          </w:p>
        </w:tc>
        <w:tc>
          <w:tcPr>
            <w:tcW w:type="dxa" w:w="4025"/>
            <w:shd w:val="clear" w:fill="F0F5F2"/>
            <w:tcW w:w="4025" w:type="dxa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INSTITUCIONAL / operacional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i w:val="0"/>
          <w:sz w:val="20"/>
        </w:rPr>
        <w:t>Auditoria: o script 04_auditoria.py recalcula 36 números do painel diretamente da planilha; resultado atual: 36 verificações OK, 0 falhas.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D3229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