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0F3F9" w14:textId="77777777" w:rsidR="00FB2D49" w:rsidRDefault="008662A4" w:rsidP="00FB2D49">
      <w:pPr>
        <w:spacing w:after="0" w:line="240" w:lineRule="auto"/>
        <w:jc w:val="center"/>
        <w:outlineLvl w:val="0"/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</w:pPr>
      <w:r w:rsidRPr="00517DE7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 xml:space="preserve">ENTREGABLE </w:t>
      </w:r>
      <w:proofErr w:type="spellStart"/>
      <w:r w:rsidRPr="00517DE7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>N°</w:t>
      </w:r>
      <w:proofErr w:type="spellEnd"/>
      <w:r w:rsidRPr="00517DE7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 xml:space="preserve"> 0</w:t>
      </w:r>
      <w:r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>7</w:t>
      </w:r>
    </w:p>
    <w:p w14:paraId="35BA8823" w14:textId="2CFEC539" w:rsidR="008662A4" w:rsidRPr="00FB2D49" w:rsidRDefault="008662A4" w:rsidP="00FB2D49">
      <w:pPr>
        <w:spacing w:after="0" w:line="240" w:lineRule="auto"/>
        <w:outlineLvl w:val="0"/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</w:pPr>
      <w:r w:rsidRPr="008662A4">
        <w:rPr>
          <w:rFonts w:ascii="Roboto" w:eastAsia="Times New Roman" w:hAnsi="Roboto" w:cs="Times New Roman"/>
          <w:kern w:val="36"/>
          <w:sz w:val="52"/>
          <w:szCs w:val="52"/>
          <w:lang w:eastAsia="es-PE"/>
        </w:rPr>
        <w:t>Matriz morfológica</w:t>
      </w:r>
      <w:r w:rsidR="007E2415">
        <w:rPr>
          <w:rFonts w:ascii="Roboto" w:eastAsia="Times New Roman" w:hAnsi="Roboto" w:cs="Times New Roman"/>
          <w:kern w:val="36"/>
          <w:sz w:val="52"/>
          <w:szCs w:val="52"/>
          <w:lang w:eastAsia="es-PE"/>
        </w:rPr>
        <w:br/>
      </w:r>
      <w:r w:rsidR="00FB2D49">
        <w:rPr>
          <w:rFonts w:ascii="Roboto" w:hAnsi="Roboto"/>
          <w:noProof/>
          <w:kern w:val="36"/>
          <w:sz w:val="52"/>
          <w:szCs w:val="52"/>
        </w:rPr>
        <w:drawing>
          <wp:inline distT="0" distB="0" distL="0" distR="0" wp14:anchorId="0DEC0F53" wp14:editId="5499D883">
            <wp:extent cx="5399405" cy="7952901"/>
            <wp:effectExtent l="0" t="0" r="0" b="0"/>
            <wp:docPr id="1" name="Imagen 1" descr="C:\Users\HP\AppData\Local\Microsoft\Windows\INetCache\Content.MSO\13D344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MSO\13D344D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377" cy="795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28212" w14:textId="77777777" w:rsidR="00FB2D49" w:rsidRPr="00FB2D49" w:rsidRDefault="00FB2D49" w:rsidP="00FB2D49">
      <w:pPr>
        <w:pStyle w:val="NormalWeb"/>
        <w:spacing w:before="0" w:beforeAutospacing="0" w:after="0" w:afterAutospacing="0"/>
      </w:pPr>
      <w:r>
        <w:rPr>
          <w:b/>
          <w:bCs/>
          <w:noProof/>
          <w:kern w:val="36"/>
          <w:sz w:val="52"/>
          <w:szCs w:val="52"/>
        </w:rPr>
        <w:lastRenderedPageBreak/>
        <w:drawing>
          <wp:inline distT="0" distB="0" distL="0" distR="0" wp14:anchorId="173D5A1D" wp14:editId="6D5F777C">
            <wp:extent cx="5400040" cy="3108743"/>
            <wp:effectExtent l="0" t="0" r="0" b="0"/>
            <wp:docPr id="2" name="Imagen 2" descr="C:\Users\HP\AppData\Local\Microsoft\Windows\INetCache\Content.MSO\EF3D4C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MSO\EF3D4CB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kern w:val="36"/>
          <w:sz w:val="52"/>
          <w:szCs w:val="52"/>
        </w:rPr>
        <w:br/>
      </w:r>
      <w:hyperlink r:id="rId7" w:history="1">
        <w:r w:rsidRPr="00FB2D49">
          <w:rPr>
            <w:rFonts w:ascii="Open Sans" w:hAnsi="Open Sans"/>
            <w:b/>
            <w:bCs/>
            <w:color w:val="0000FF"/>
            <w:u w:val="single"/>
          </w:rPr>
          <w:t>REFERENCIAS:</w:t>
        </w:r>
      </w:hyperlink>
      <w:r w:rsidRPr="00FB2D49">
        <w:rPr>
          <w:rFonts w:ascii="Arial" w:hAnsi="Arial" w:cs="Arial"/>
          <w:color w:val="000000"/>
        </w:rPr>
        <w:t> </w:t>
      </w:r>
    </w:p>
    <w:p w14:paraId="75FF1D49" w14:textId="220B3070" w:rsidR="00FB2D49" w:rsidRPr="00FB2D49" w:rsidRDefault="00FB2D49" w:rsidP="00FB2D49">
      <w:pPr>
        <w:numPr>
          <w:ilvl w:val="0"/>
          <w:numId w:val="1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FB2D49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MINEM. (2016). Atlas eólico del Perú</w:t>
      </w:r>
      <w:r w:rsidRPr="00FB2D49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PE"/>
        </w:rPr>
        <w:t>.</w:t>
      </w:r>
      <w:r>
        <w:rPr>
          <w:rFonts w:ascii="Arial" w:eastAsia="Times New Roman" w:hAnsi="Arial" w:cs="Arial"/>
          <w:color w:val="000000"/>
          <w:lang w:eastAsia="es-PE"/>
        </w:rPr>
        <w:t xml:space="preserve"> </w:t>
      </w:r>
      <w:hyperlink r:id="rId8" w:history="1">
        <w:r w:rsidRPr="00744933">
          <w:rPr>
            <w:rStyle w:val="Hipervnculo"/>
            <w:rFonts w:ascii="Arial" w:eastAsia="Times New Roman" w:hAnsi="Arial" w:cs="Arial"/>
            <w:b/>
            <w:bCs/>
            <w:sz w:val="20"/>
            <w:szCs w:val="20"/>
            <w:lang w:eastAsia="es-PE"/>
          </w:rPr>
          <w:t>http://www.minem.gob.pe/minem/archivos/file/Electricidad/publicaciones/Atlas_Eolico_Final.pdf</w:t>
        </w:r>
      </w:hyperlink>
    </w:p>
    <w:p w14:paraId="57136650" w14:textId="580F96D0" w:rsidR="00FB2D49" w:rsidRPr="00FB2D49" w:rsidRDefault="00FB2D49" w:rsidP="00FB2D49">
      <w:pPr>
        <w:numPr>
          <w:ilvl w:val="0"/>
          <w:numId w:val="2"/>
        </w:numPr>
        <w:spacing w:before="90"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FB2D49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Inauguran 20 reservorios en </w:t>
      </w:r>
      <w:proofErr w:type="spellStart"/>
      <w:r w:rsidRPr="00FB2D49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Mañazo</w:t>
      </w:r>
      <w:proofErr w:type="spellEnd"/>
      <w:r w:rsidRPr="00FB2D49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-Puno. (2022, 15 diciembre). Revista </w:t>
      </w:r>
      <w:proofErr w:type="spellStart"/>
      <w:r w:rsidRPr="00FB2D49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Agronoticias</w:t>
      </w:r>
      <w:proofErr w:type="spellEnd"/>
      <w:r w:rsidRPr="00FB2D49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</w:t>
      </w:r>
      <w:hyperlink r:id="rId9" w:history="1">
        <w:r w:rsidRPr="00744933">
          <w:rPr>
            <w:rStyle w:val="Hipervnculo"/>
            <w:rFonts w:ascii="Arial" w:eastAsia="Times New Roman" w:hAnsi="Arial" w:cs="Arial"/>
            <w:b/>
            <w:bCs/>
            <w:sz w:val="20"/>
            <w:szCs w:val="20"/>
            <w:lang w:eastAsia="es-PE"/>
          </w:rPr>
          <w:t>https://agronoticias.pe/ultimas-noticias/inauguran-20-reservorios-en-manazo-puno/</w:t>
        </w:r>
      </w:hyperlink>
      <w:r w:rsidRPr="00FB2D49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PE"/>
        </w:rPr>
        <w:t> </w:t>
      </w:r>
    </w:p>
    <w:p w14:paraId="1E490160" w14:textId="77777777" w:rsidR="00FB2D49" w:rsidRPr="00FB2D49" w:rsidRDefault="00FB2D49" w:rsidP="00FB2D49">
      <w:pPr>
        <w:numPr>
          <w:ilvl w:val="0"/>
          <w:numId w:val="2"/>
        </w:numPr>
        <w:spacing w:before="90"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FB2D49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Instalarán 270 </w:t>
      </w:r>
      <w:proofErr w:type="spellStart"/>
      <w:r w:rsidRPr="00FB2D49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microreservorios</w:t>
      </w:r>
      <w:proofErr w:type="spellEnd"/>
      <w:r w:rsidRPr="00FB2D49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en 10 distritos de Puno. (2021, 3 de noviembre). Revista </w:t>
      </w:r>
      <w:proofErr w:type="spellStart"/>
      <w:r w:rsidRPr="00FB2D49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Agroperú</w:t>
      </w:r>
      <w:proofErr w:type="spellEnd"/>
      <w:r w:rsidRPr="00FB2D49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.     </w:t>
      </w:r>
      <w:hyperlink r:id="rId10" w:history="1">
        <w:r w:rsidRPr="00FB2D49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lang w:eastAsia="es-PE"/>
          </w:rPr>
          <w:t>https://www.agroperu.pe/instalaran-270-microreservorios-en-10-distritos-de-puno/</w:t>
        </w:r>
      </w:hyperlink>
      <w:r w:rsidRPr="00FB2D49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PE"/>
        </w:rPr>
        <w:t> </w:t>
      </w:r>
    </w:p>
    <w:p w14:paraId="71C69271" w14:textId="21BA651B" w:rsidR="00FB2D49" w:rsidRPr="00FB2D49" w:rsidRDefault="00FB2D49" w:rsidP="00FB2D49">
      <w:pPr>
        <w:numPr>
          <w:ilvl w:val="0"/>
          <w:numId w:val="2"/>
        </w:numPr>
        <w:spacing w:before="90"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FB2D49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Aruquipa, L. (2022, 24 octubre). Nota de prensa Agua para el agro y ganadería con la construcción de 20 </w:t>
      </w:r>
      <w:proofErr w:type="spellStart"/>
      <w:r w:rsidRPr="00FB2D49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microreservorios</w:t>
      </w:r>
      <w:proofErr w:type="spellEnd"/>
      <w:r w:rsidRPr="00FB2D49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en el distrito de </w:t>
      </w:r>
      <w:proofErr w:type="spellStart"/>
      <w:r w:rsidRPr="00FB2D49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Capaso</w:t>
      </w:r>
      <w:proofErr w:type="spellEnd"/>
      <w:r w:rsidRPr="00FB2D49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. Portal Web Gobierno Regional Puno.</w:t>
      </w:r>
      <w:r w:rsidRPr="00FB2D49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PE"/>
        </w:rPr>
        <w:t xml:space="preserve"> </w:t>
      </w:r>
      <w:r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  <w:lang w:eastAsia="es-PE"/>
        </w:rPr>
        <w:t xml:space="preserve"> </w:t>
      </w:r>
      <w:hyperlink r:id="rId11" w:history="1">
        <w:r w:rsidRPr="00744933">
          <w:rPr>
            <w:rStyle w:val="Hipervnculo"/>
            <w:rFonts w:ascii="Arial" w:eastAsia="Times New Roman" w:hAnsi="Arial" w:cs="Arial"/>
            <w:b/>
            <w:bCs/>
            <w:sz w:val="20"/>
            <w:szCs w:val="20"/>
            <w:lang w:eastAsia="es-PE"/>
          </w:rPr>
          <w:t>https://www.regionpuno.gob.pe/nota-de-prensa-agua-para-el-agro-y-ganaderia-con-la-construccion-de-20-microreservorios-en-el-distrito-de-capaso/</w:t>
        </w:r>
      </w:hyperlink>
    </w:p>
    <w:p w14:paraId="5E9417F7" w14:textId="5C2D2AAF" w:rsidR="00FB2D49" w:rsidRDefault="00FB2D49" w:rsidP="00FB2D49">
      <w:pPr>
        <w:numPr>
          <w:ilvl w:val="0"/>
          <w:numId w:val="2"/>
        </w:numPr>
        <w:spacing w:before="90"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FB2D49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Inician Mejoramiento de la gestión integrada de los recursos hídricos en cuencas de la región Puno. (s.f.). Noticias - Gobierno Regional Puno - Gobierno del Perú. </w:t>
      </w:r>
      <w:hyperlink r:id="rId12" w:history="1">
        <w:r w:rsidRPr="00FB2D49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lang w:eastAsia="es-PE"/>
          </w:rPr>
          <w:t>https://www.gob.pe/institucion/regionpuno/noticias/319167-inician-mejoramiento-de-la-gestion-integrada-de-los-recursos-hidricos-en-cuencas-de-la-region-puno</w:t>
        </w:r>
      </w:hyperlink>
    </w:p>
    <w:p w14:paraId="6D78A071" w14:textId="0BCF0903" w:rsidR="007E2415" w:rsidRPr="00FB2D49" w:rsidRDefault="00FB2D49" w:rsidP="00FB2D49">
      <w:pPr>
        <w:numPr>
          <w:ilvl w:val="0"/>
          <w:numId w:val="2"/>
        </w:numPr>
        <w:spacing w:before="90"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FB2D49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(2022, 11 marzo). Resolución Gerencial General Regional Nro. 022-2022-GGR-GR PUNO.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</w:t>
      </w:r>
      <w:hyperlink r:id="rId13" w:history="1">
        <w:r w:rsidRPr="00744933">
          <w:rPr>
            <w:rStyle w:val="Hipervnculo"/>
            <w:rFonts w:ascii="Arial" w:eastAsia="Times New Roman" w:hAnsi="Arial" w:cs="Arial"/>
            <w:b/>
            <w:bCs/>
            <w:sz w:val="20"/>
            <w:szCs w:val="20"/>
            <w:lang w:eastAsia="es-PE"/>
          </w:rPr>
          <w:t>https://www.regionpuno.gob.pe/descargas/resoluciones/gerencial/2022/R.G.G.R.%20Nro.%20022-2022-GGR-GR%20PUNO.pdf</w:t>
        </w:r>
      </w:hyperlink>
      <w:r w:rsidR="007E2415" w:rsidRPr="00FB2D49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s-PE"/>
        </w:rPr>
        <w:br/>
      </w:r>
    </w:p>
    <w:p w14:paraId="5DA85568" w14:textId="16BA7EF7" w:rsidR="00FB2D49" w:rsidRPr="00FB2D49" w:rsidRDefault="008662A4" w:rsidP="00FB2D49">
      <w:pPr>
        <w:pStyle w:val="NormalWeb"/>
        <w:spacing w:before="0" w:beforeAutospacing="0" w:after="0" w:afterAutospacing="0"/>
      </w:pPr>
      <w:r w:rsidRPr="008662A4">
        <w:rPr>
          <w:rFonts w:ascii="Roboto" w:hAnsi="Roboto"/>
          <w:sz w:val="52"/>
          <w:szCs w:val="52"/>
        </w:rPr>
        <w:lastRenderedPageBreak/>
        <w:t>S</w:t>
      </w:r>
      <w:r>
        <w:rPr>
          <w:rFonts w:ascii="Roboto" w:hAnsi="Roboto"/>
          <w:sz w:val="52"/>
          <w:szCs w:val="52"/>
        </w:rPr>
        <w:t>istema de valoración</w:t>
      </w:r>
      <w:r w:rsidR="007E2415">
        <w:rPr>
          <w:rFonts w:ascii="Roboto" w:hAnsi="Roboto"/>
          <w:sz w:val="52"/>
          <w:szCs w:val="52"/>
        </w:rPr>
        <w:br/>
      </w:r>
      <w:r w:rsidR="00A53F33" w:rsidRPr="00A53F33">
        <w:rPr>
          <w:rFonts w:ascii="Roboto" w:hAnsi="Roboto"/>
          <w:b/>
          <w:bCs/>
          <w:noProof/>
          <w:sz w:val="52"/>
          <w:szCs w:val="52"/>
        </w:rPr>
        <w:drawing>
          <wp:inline distT="0" distB="0" distL="0" distR="0" wp14:anchorId="046A2E7A" wp14:editId="6E0F3541">
            <wp:extent cx="5781797" cy="1809750"/>
            <wp:effectExtent l="0" t="0" r="9525" b="0"/>
            <wp:docPr id="5" name="Imagen 4" descr="Tab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0978AA1-ACD3-4A1D-0968-0AEA78A7CA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Tabla&#10;&#10;Descripción generada automáticamente">
                      <a:extLst>
                        <a:ext uri="{FF2B5EF4-FFF2-40B4-BE49-F238E27FC236}">
                          <a16:creationId xmlns:a16="http://schemas.microsoft.com/office/drawing/2014/main" id="{F0978AA1-ACD3-4A1D-0968-0AEA78A7CA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5396" cy="181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F33" w:rsidRPr="00A53F33">
        <w:rPr>
          <w:noProof/>
        </w:rPr>
        <w:drawing>
          <wp:inline distT="0" distB="0" distL="0" distR="0" wp14:anchorId="34FC5AD6" wp14:editId="5035981C">
            <wp:extent cx="1257475" cy="962159"/>
            <wp:effectExtent l="0" t="0" r="0" b="9525"/>
            <wp:docPr id="3" name="Imagen 2" descr="Interfaz de usuario gráfica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D3D7873-9B03-9C56-33B8-A422619BA4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Interfaz de usuario gráfica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8D3D7873-9B03-9C56-33B8-A422619BA4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415">
        <w:rPr>
          <w:rFonts w:ascii="Roboto" w:hAnsi="Roboto"/>
          <w:sz w:val="52"/>
          <w:szCs w:val="52"/>
        </w:rPr>
        <w:br/>
      </w:r>
      <w:r w:rsidR="00FB2D49">
        <w:br/>
      </w:r>
      <w:r w:rsidR="00FB2D49">
        <w:rPr>
          <w:rFonts w:ascii="Cairo" w:hAnsi="Cairo"/>
          <w:b/>
          <w:bCs/>
          <w:color w:val="000000"/>
          <w:sz w:val="28"/>
          <w:szCs w:val="28"/>
        </w:rPr>
        <w:br/>
      </w:r>
      <w:bookmarkStart w:id="0" w:name="_GoBack"/>
      <w:r w:rsidR="00FB2D49" w:rsidRPr="00FB2D49">
        <w:rPr>
          <w:rFonts w:ascii="Open Sans" w:hAnsi="Open Sans"/>
          <w:b/>
          <w:bCs/>
        </w:rPr>
        <w:t>CONCLUSIÓN:</w:t>
      </w:r>
      <w:bookmarkEnd w:id="0"/>
    </w:p>
    <w:p w14:paraId="376B395A" w14:textId="27840A0A" w:rsidR="00FB2D49" w:rsidRPr="00FB2D49" w:rsidRDefault="00FB2D49" w:rsidP="00FB2D49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 w:rsidRPr="00FB2D49">
        <w:rPr>
          <w:rFonts w:ascii="Cairo" w:hAnsi="Cairo"/>
          <w:b/>
          <w:bCs/>
          <w:color w:val="000000"/>
          <w:sz w:val="20"/>
          <w:szCs w:val="20"/>
        </w:rPr>
        <w:t>La propuesta 3 fue la ganadora debido a su alta viabilidad económica, a su gran disponibilidad de repuestos y a su facilidad de ensamblaje, además, el sistema es de fácil uso gracias a su automatización. Se le considera seguro y tiene un tamaño suficiente, esto por las necesidades del cultivo. </w:t>
      </w:r>
    </w:p>
    <w:p w14:paraId="239E9467" w14:textId="374D9C08" w:rsidR="005F22F9" w:rsidRDefault="005F22F9" w:rsidP="008662A4">
      <w:pPr>
        <w:pStyle w:val="Ttulo1"/>
        <w:spacing w:before="0" w:beforeAutospacing="0" w:after="0" w:afterAutospacing="0"/>
      </w:pPr>
    </w:p>
    <w:sectPr w:rsidR="005F2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32A61"/>
    <w:multiLevelType w:val="multilevel"/>
    <w:tmpl w:val="F03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1E6408"/>
    <w:multiLevelType w:val="multilevel"/>
    <w:tmpl w:val="8468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A4"/>
    <w:rsid w:val="005F22F9"/>
    <w:rsid w:val="007E2415"/>
    <w:rsid w:val="008662A4"/>
    <w:rsid w:val="00A53F33"/>
    <w:rsid w:val="00FB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F4F80"/>
  <w15:chartTrackingRefBased/>
  <w15:docId w15:val="{3EB007DC-53E1-4A76-8159-206648F9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62A4"/>
  </w:style>
  <w:style w:type="paragraph" w:styleId="Ttulo1">
    <w:name w:val="heading 1"/>
    <w:basedOn w:val="Normal"/>
    <w:link w:val="Ttulo1Car"/>
    <w:uiPriority w:val="9"/>
    <w:qFormat/>
    <w:rsid w:val="008662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2A4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FB2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FB2D4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2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em.gob.pe/minem/archivos/file/Electricidad/publicaciones/Atlas_Eolico_Final.pdf" TargetMode="External"/><Relationship Id="rId13" Type="http://schemas.openxmlformats.org/officeDocument/2006/relationships/hyperlink" Target="https://www.regionpuno.gob.pe/descargas/resoluciones/gerencial/2022/R.G.G.R.%20Nro.%20022-2022-GGR-GR%20PUNO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d/1s69zqKiuhrLXKcRbA44t8xknfziZaKBS/p/1HqnHBIp_tulzpaYuZzhb2BVEO7zRKgoK/edit" TargetMode="External"/><Relationship Id="rId12" Type="http://schemas.openxmlformats.org/officeDocument/2006/relationships/hyperlink" Target="https://www.gob.pe/institucion/regionpuno/noticias/319167-inician-mejoramiento-de-la-gestion-integrada-de-los-recursos-hidricos-en-cuencas-de-la-region-pun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egionpuno.gob.pe/nota-de-prensa-agua-para-el-agro-y-ganaderia-con-la-construccion-de-20-microreservorios-en-el-distrito-de-capaso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4.png"/><Relationship Id="rId10" Type="http://schemas.openxmlformats.org/officeDocument/2006/relationships/hyperlink" Target="https://www.agroperu.pe/instalaran-270-microreservorios-en-10-distritos-de-pun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gronoticias.pe/ultimas-noticias/inauguran-20-reservorios-en-manazo-puno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400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ROSALES, ANAMELBA</dc:creator>
  <cp:keywords/>
  <dc:description/>
  <cp:lastModifiedBy>aracelitaipevalderrama@gmail.com</cp:lastModifiedBy>
  <cp:revision>5</cp:revision>
  <dcterms:created xsi:type="dcterms:W3CDTF">2023-01-31T23:39:00Z</dcterms:created>
  <dcterms:modified xsi:type="dcterms:W3CDTF">2023-02-15T17:20:00Z</dcterms:modified>
</cp:coreProperties>
</file>