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jc w:val="center"/>
        <w:rPr>
          <w:rFonts w:ascii="Openproof" w:cs="Openproof" w:hAnsi="Openproof" w:eastAsia="Openproof"/>
          <w:b w:val="1"/>
          <w:bCs w:val="1"/>
          <w:sz w:val="38"/>
          <w:szCs w:val="38"/>
        </w:rPr>
      </w:pPr>
      <w:r>
        <w:rPr>
          <w:rFonts w:ascii="Openproof" w:hAnsi="Openproof"/>
          <w:b w:val="1"/>
          <w:bCs w:val="1"/>
          <w:sz w:val="38"/>
          <w:szCs w:val="38"/>
          <w:rtl w:val="0"/>
          <w:lang w:val="pt-PT"/>
        </w:rPr>
        <w:t>Chidamber and Kemerer metrics</w:t>
      </w:r>
    </w:p>
    <w:p>
      <w:pPr>
        <w:pStyle w:val="Corpo"/>
        <w:bidi w:val="0"/>
      </w:pPr>
    </w:p>
    <w:p>
      <w:pPr>
        <w:pStyle w:val="Corpo"/>
        <w:bidi w:val="0"/>
      </w:pPr>
    </w:p>
    <w:p>
      <w:pPr>
        <w:pStyle w:val="Corpo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75"/>
        <w:gridCol w:w="1376"/>
        <w:gridCol w:w="1376"/>
        <w:gridCol w:w="1376"/>
        <w:gridCol w:w="1376"/>
        <w:gridCol w:w="1376"/>
        <w:gridCol w:w="137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1375"/>
            <w:tcBorders>
              <w:top w:val="single" w:color="fefffe" w:sz="2" w:space="0" w:shadow="0" w:frame="0"/>
              <w:left w:val="single" w:color="fefffe" w:sz="2" w:space="0" w:shadow="0" w:frame="0"/>
              <w:bottom w:val="single" w:color="fefffe" w:sz="6" w:space="0" w:shadow="0" w:frame="0"/>
              <w:right w:val="single" w:color="919191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919191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CBO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DIT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LCOM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NOC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RFC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WMC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fefffe" w:sz="6" w:space="0" w:shadow="0" w:frame="0"/>
              <w:left w:val="single" w:color="fefffe" w:sz="2" w:space="0" w:shadow="0" w:frame="0"/>
              <w:bottom w:val="single" w:color="fefffe" w:sz="2" w:space="0" w:shadow="0" w:frame="0"/>
              <w:right w:val="single" w:color="919191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6" w:space="0" w:shadow="0" w:frame="0"/>
              <w:left w:val="single" w:color="919191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4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6</w:t>
            </w:r>
          </w:p>
        </w:tc>
        <w:tc>
          <w:tcPr>
            <w:tcW w:type="dxa" w:w="137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fefffe" w:sz="2" w:space="0" w:shadow="0" w:frame="0"/>
              <w:left w:val="single" w:color="fefffe" w:sz="2" w:space="0" w:shadow="0" w:frame="0"/>
              <w:bottom w:val="single" w:color="fefffe" w:sz="2" w:space="0" w:shadow="0" w:frame="0"/>
              <w:right w:val="single" w:color="919191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919191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3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fefffe" w:sz="2" w:space="0" w:shadow="0" w:frame="0"/>
              <w:left w:val="single" w:color="fefffe" w:sz="2" w:space="0" w:shadow="0" w:frame="0"/>
              <w:bottom w:val="single" w:color="fefffe" w:sz="2" w:space="0" w:shadow="0" w:frame="0"/>
              <w:right w:val="single" w:color="919191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919191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2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fefffe" w:sz="2" w:space="0" w:shadow="0" w:frame="0"/>
              <w:left w:val="single" w:color="fefffe" w:sz="2" w:space="0" w:shadow="0" w:frame="0"/>
              <w:bottom w:val="single" w:color="fefffe" w:sz="2" w:space="0" w:shadow="0" w:frame="0"/>
              <w:right w:val="single" w:color="919191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919191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21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8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fefffe" w:sz="2" w:space="0" w:shadow="0" w:frame="0"/>
              <w:left w:val="single" w:color="fefffe" w:sz="2" w:space="0" w:shadow="0" w:frame="0"/>
              <w:bottom w:val="single" w:color="5e5e5e" w:sz="2" w:space="0" w:shadow="0" w:frame="0"/>
              <w:right w:val="single" w:color="919191" w:sz="6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919191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7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10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5e5e5e" w:sz="2" w:space="0" w:shadow="0" w:frame="0"/>
              <w:left w:val="single" w:color="5e5e5e" w:sz="2" w:space="0" w:shadow="0" w:frame="0"/>
              <w:bottom w:val="single" w:color="5e5e5e" w:sz="2" w:space="0" w:shadow="0" w:frame="0"/>
              <w:right w:val="single" w:color="5e5e5e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Total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5e5e5e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378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375"/>
            <w:tcBorders>
              <w:top w:val="single" w:color="5e5e5e" w:sz="2" w:space="0" w:shadow="0" w:frame="0"/>
              <w:left w:val="single" w:color="5e5e5e" w:sz="2" w:space="0" w:shadow="0" w:frame="0"/>
              <w:bottom w:val="single" w:color="5e5e5e" w:sz="2" w:space="0" w:shadow="0" w:frame="0"/>
              <w:right w:val="single" w:color="5e5e5e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1"/>
              <w:jc w:val="center"/>
            </w:pPr>
            <w:r>
              <w:rPr>
                <w:rFonts w:ascii="Helvetica Neue" w:hAnsi="Helvetica Neue"/>
                <w:rtl w:val="0"/>
              </w:rPr>
              <w:t>Average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5e5e5e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2.60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3.19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2.39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0.60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10.16</w:t>
            </w:r>
          </w:p>
        </w:tc>
        <w:tc>
          <w:tcPr>
            <w:tcW w:type="dxa" w:w="137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Estilo da tabela 2"/>
              <w:jc w:val="center"/>
            </w:pPr>
            <w:r>
              <w:rPr>
                <w:rFonts w:ascii="Helvetica Neue" w:hAnsi="Helvetica Neue"/>
                <w:rtl w:val="0"/>
              </w:rPr>
              <w:t>6.10</w:t>
            </w:r>
          </w:p>
        </w:tc>
      </w:tr>
    </w:tbl>
    <w:p>
      <w:pPr>
        <w:pStyle w:val="Corpo"/>
        <w:bidi w:val="0"/>
      </w:pPr>
    </w:p>
    <w:p>
      <w:pPr>
        <w:pStyle w:val="Corpo"/>
        <w:bidi w:val="0"/>
      </w:pPr>
    </w:p>
    <w:p>
      <w:pPr>
        <w:pStyle w:val="Predefinição"/>
        <w:bidi w:val="0"/>
        <w:spacing w:before="0" w:after="26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after="26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  <w:r>
        <w:rPr>
          <w:rFonts w:ascii="Verdana" w:hAnsi="Verdana"/>
          <w:sz w:val="26"/>
          <w:szCs w:val="26"/>
          <w:rtl w:val="0"/>
          <w:lang w:val="en-US"/>
        </w:rPr>
        <w:t>The Chidamber &amp; Kemerer metrics suite originally consists of 6 metrics calculated for each class: WMC, DIT, NOC, CBO, RFC and LCOM1. The original suite has later been amended by RFC</w:t>
      </w:r>
      <w:r>
        <w:rPr>
          <w:rFonts w:ascii="Verdana" w:hAnsi="Verdana" w:hint="default"/>
          <w:sz w:val="26"/>
          <w:szCs w:val="26"/>
          <w:rtl w:val="0"/>
          <w:lang w:val="de-DE"/>
        </w:rPr>
        <w:t>´</w:t>
      </w:r>
      <w:r>
        <w:rPr>
          <w:rFonts w:ascii="Verdana" w:hAnsi="Verdana"/>
          <w:sz w:val="26"/>
          <w:szCs w:val="26"/>
          <w:rtl w:val="0"/>
          <w:lang w:val="en-US"/>
        </w:rPr>
        <w:t>, LCOM2, LCOM3 and LCOM4 by other authors.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  <w:lang w:val="de-DE"/>
        </w:rPr>
        <w:t>WMC</w:t>
      </w:r>
      <w:r>
        <w:rPr>
          <w:rFonts w:ascii="Openproof" w:hAnsi="Openproof"/>
          <w:sz w:val="26"/>
          <w:szCs w:val="26"/>
          <w:rtl w:val="0"/>
          <w:lang w:val="en-US"/>
        </w:rPr>
        <w:t xml:space="preserve"> = number of methods defined in class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</w:rPr>
        <w:t>DIT</w:t>
      </w:r>
      <w:r>
        <w:rPr>
          <w:rFonts w:ascii="Openproof" w:hAnsi="Openproof"/>
          <w:sz w:val="26"/>
          <w:szCs w:val="26"/>
          <w:rtl w:val="0"/>
          <w:lang w:val="en-US"/>
        </w:rPr>
        <w:t xml:space="preserve"> = maximum inheritance path from the class to the root class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  <w:lang w:val="es-ES_tradnl"/>
        </w:rPr>
        <w:t xml:space="preserve">NOC </w:t>
      </w:r>
      <w:r>
        <w:rPr>
          <w:rFonts w:ascii="Openproof" w:hAnsi="Openproof"/>
          <w:sz w:val="26"/>
          <w:szCs w:val="26"/>
          <w:rtl w:val="0"/>
          <w:lang w:val="en-US"/>
        </w:rPr>
        <w:t>= number of immediate sub-classes of a class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  <w:lang w:val="pt-PT"/>
        </w:rPr>
        <w:t xml:space="preserve">CBO </w:t>
      </w:r>
      <w:r>
        <w:rPr>
          <w:rFonts w:ascii="Openproof" w:hAnsi="Openproof"/>
          <w:sz w:val="26"/>
          <w:szCs w:val="26"/>
          <w:rtl w:val="0"/>
          <w:lang w:val="en-US"/>
        </w:rPr>
        <w:t>= a delicious breaded chicken fillet with crispy bacon, fried onions, melted cheese, Iceberg salad</w:t>
      </w:r>
      <w:r>
        <w:rPr>
          <w:rFonts w:ascii="Openproof" w:hAnsi="Openproof"/>
          <w:sz w:val="26"/>
          <w:szCs w:val="26"/>
          <w:rtl w:val="0"/>
          <w:lang w:val="pt-PT"/>
        </w:rPr>
        <w:t xml:space="preserve"> (just kidding) CBO is the </w:t>
      </w:r>
      <w:r>
        <w:rPr>
          <w:rFonts w:ascii="Openproof" w:hAnsi="Openproof"/>
          <w:sz w:val="26"/>
          <w:szCs w:val="26"/>
          <w:rtl w:val="0"/>
          <w:lang w:val="en-US"/>
        </w:rPr>
        <w:t>number of classes to which a class is coupled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  <w:lang w:val="de-DE"/>
        </w:rPr>
        <w:t>RFC</w:t>
      </w:r>
      <w:r>
        <w:rPr>
          <w:rFonts w:ascii="Openproof" w:hAnsi="Openproof"/>
          <w:sz w:val="26"/>
          <w:szCs w:val="26"/>
          <w:rtl w:val="0"/>
          <w:lang w:val="en-US"/>
        </w:rPr>
        <w:t xml:space="preserve"> = M + R (First-step measure)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  <w:lang w:val="de-DE"/>
        </w:rPr>
        <w:t>RFC</w:t>
      </w:r>
      <w:r>
        <w:rPr>
          <w:rFonts w:ascii="Openproof" w:hAnsi="Openproof" w:hint="default"/>
          <w:b w:val="1"/>
          <w:bCs w:val="1"/>
          <w:sz w:val="26"/>
          <w:szCs w:val="26"/>
          <w:rtl w:val="1"/>
        </w:rPr>
        <w:t xml:space="preserve">’ </w:t>
      </w:r>
      <w:r>
        <w:rPr>
          <w:rFonts w:ascii="Openproof" w:hAnsi="Openproof"/>
          <w:sz w:val="26"/>
          <w:szCs w:val="26"/>
          <w:rtl w:val="0"/>
        </w:rPr>
        <w:t>= M + R</w:t>
      </w:r>
      <w:r>
        <w:rPr>
          <w:rFonts w:ascii="Openproof" w:hAnsi="Openproof" w:hint="default"/>
          <w:sz w:val="26"/>
          <w:szCs w:val="26"/>
          <w:rtl w:val="1"/>
        </w:rPr>
        <w:t xml:space="preserve">’ </w:t>
      </w:r>
      <w:r>
        <w:rPr>
          <w:rFonts w:ascii="Openproof" w:hAnsi="Openproof"/>
          <w:sz w:val="26"/>
          <w:szCs w:val="26"/>
          <w:rtl w:val="0"/>
          <w:lang w:val="en-US"/>
        </w:rPr>
        <w:t>(Full measure)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</w:rPr>
        <w:t xml:space="preserve">M </w:t>
      </w:r>
      <w:r>
        <w:rPr>
          <w:rFonts w:ascii="Openproof" w:hAnsi="Openproof"/>
          <w:sz w:val="26"/>
          <w:szCs w:val="26"/>
          <w:rtl w:val="0"/>
          <w:lang w:val="en-US"/>
        </w:rPr>
        <w:t>= number of methods in the class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  <w:lang w:val="de-DE"/>
        </w:rPr>
        <w:t xml:space="preserve">R </w:t>
      </w:r>
      <w:r>
        <w:rPr>
          <w:rFonts w:ascii="Openproof" w:hAnsi="Openproof"/>
          <w:sz w:val="26"/>
          <w:szCs w:val="26"/>
          <w:rtl w:val="0"/>
          <w:lang w:val="en-US"/>
        </w:rPr>
        <w:t>= number of remote methods directly called by methods of the class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  <w:r>
        <w:rPr>
          <w:rFonts w:ascii="Openproof" w:hAnsi="Openproof"/>
          <w:b w:val="1"/>
          <w:bCs w:val="1"/>
          <w:sz w:val="26"/>
          <w:szCs w:val="26"/>
          <w:rtl w:val="0"/>
        </w:rPr>
        <w:t>R</w:t>
      </w:r>
      <w:r>
        <w:rPr>
          <w:rFonts w:ascii="Openproof" w:hAnsi="Openproof" w:hint="default"/>
          <w:b w:val="1"/>
          <w:bCs w:val="1"/>
          <w:sz w:val="26"/>
          <w:szCs w:val="26"/>
          <w:rtl w:val="1"/>
        </w:rPr>
        <w:t>’</w:t>
      </w:r>
      <w:r>
        <w:rPr>
          <w:rFonts w:ascii="Openproof" w:hAnsi="Openproof"/>
          <w:sz w:val="26"/>
          <w:szCs w:val="26"/>
          <w:rtl w:val="0"/>
          <w:lang w:val="en-US"/>
        </w:rPr>
        <w:t xml:space="preserve"> = number of remote methods called, recursively through the entire call tree</w:t>
      </w: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780" w:right="1778" w:hanging="780"/>
        <w:jc w:val="left"/>
        <w:rPr>
          <w:rFonts w:ascii="Openproof" w:cs="Openproof" w:hAnsi="Openproof" w:eastAsia="Openproof"/>
          <w:sz w:val="26"/>
          <w:szCs w:val="26"/>
          <w:rtl w:val="0"/>
        </w:rPr>
      </w:pPr>
    </w:p>
    <w:p>
      <w:pPr>
        <w:pStyle w:val="Corpo"/>
        <w:rPr>
          <w:rFonts w:ascii="Openproof" w:cs="Openproof" w:hAnsi="Openproof" w:eastAsia="Openproof"/>
        </w:rPr>
      </w:pPr>
    </w:p>
    <w:p>
      <w:pPr>
        <w:pStyle w:val="Corpo"/>
        <w:rPr>
          <w:rFonts w:ascii="Openproof" w:cs="Openproof" w:hAnsi="Openproof" w:eastAsia="Openproof"/>
        </w:rPr>
      </w:pPr>
    </w:p>
    <w:p>
      <w:pPr>
        <w:pStyle w:val="Predefinição"/>
        <w:bidi w:val="0"/>
        <w:spacing w:before="0" w:after="26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  <w:r>
        <w:rPr>
          <w:rFonts w:ascii="Verdana" w:hAnsi="Verdana"/>
          <w:sz w:val="26"/>
          <w:szCs w:val="26"/>
          <w:rtl w:val="0"/>
          <w:lang w:val="en-US"/>
        </w:rPr>
        <w:t>A study by NASA reports the following average values for Chidamber &amp; Kemerer metrics. The study analyzed 3 systems and classified their quality.</w:t>
      </w:r>
    </w:p>
    <w:tbl>
      <w:tblPr>
        <w:tblW w:w="609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3"/>
        <w:gridCol w:w="1021"/>
        <w:gridCol w:w="1186"/>
        <w:gridCol w:w="1363"/>
      </w:tblGrid>
      <w:tr>
        <w:tblPrEx>
          <w:shd w:val="clear" w:color="auto" w:fill="auto"/>
        </w:tblPrEx>
        <w:trPr>
          <w:trHeight w:val="64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System analyzed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Java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Java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C++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Classes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46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1000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1617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Lines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50,000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300,000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Verdana" w:cs="Arial Unicode MS" w:hAnsi="Verdana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500,000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Quality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"Low"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"High"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"Medium"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CBO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2.48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1.25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2.09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LCOM1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447.65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78.34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113.94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RFC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80.39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43.84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28.60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NOC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0.07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0.35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0.39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DIT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0.37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0.97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1.02</w:t>
            </w:r>
          </w:p>
        </w:tc>
      </w:tr>
      <w:tr>
        <w:tblPrEx>
          <w:shd w:val="clear" w:color="auto" w:fill="auto"/>
        </w:tblPrEx>
        <w:trPr>
          <w:trHeight w:val="327" w:hRule="atLeast"/>
        </w:trPr>
        <w:tc>
          <w:tcPr>
            <w:tcW w:type="dxa" w:w="252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sz w:val="26"/>
                <w:szCs w:val="26"/>
                <w:rtl w:val="0"/>
              </w:rPr>
              <w:t>WMC</w:t>
            </w:r>
          </w:p>
        </w:tc>
        <w:tc>
          <w:tcPr>
            <w:tcW w:type="dxa" w:w="102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45.7</w:t>
            </w:r>
          </w:p>
        </w:tc>
        <w:tc>
          <w:tcPr>
            <w:tcW w:type="dxa" w:w="11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11.10</w:t>
            </w:r>
          </w:p>
        </w:tc>
        <w:tc>
          <w:tcPr>
            <w:tcW w:type="dxa" w:w="136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40"/>
              <w:left w:type="dxa" w:w="40"/>
              <w:bottom w:type="dxa" w:w="40"/>
              <w:right w:type="dxa" w:w="40"/>
            </w:tcMar>
            <w:vAlign w:val="top"/>
          </w:tcPr>
          <w:p>
            <w:pPr>
              <w:pStyle w:val="Estilo da tabela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Verdana" w:hAnsi="Verdana"/>
                <w:sz w:val="26"/>
                <w:szCs w:val="26"/>
                <w:rtl w:val="0"/>
              </w:rPr>
              <w:t>23.97</w:t>
            </w:r>
          </w:p>
        </w:tc>
      </w:tr>
    </w:tbl>
    <w:p>
      <w:pPr>
        <w:pStyle w:val="Predefinição"/>
        <w:bidi w:val="0"/>
        <w:spacing w:before="0" w:after="26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righ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righ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  <w:r>
        <w:rPr>
          <w:rFonts w:ascii="Verdana" w:hAnsi="Verdana"/>
          <w:sz w:val="26"/>
          <w:szCs w:val="26"/>
          <w:rtl w:val="0"/>
          <w:lang w:val="pt-PT"/>
        </w:rPr>
        <w:t>Comparing the table made by NASA and our values, we can conclude that our quality is between high and medium!</w:t>
      </w: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Fonts w:ascii="Verdana" w:cs="Verdana" w:hAnsi="Verdana" w:eastAsia="Verdana"/>
          <w:sz w:val="26"/>
          <w:szCs w:val="26"/>
          <w:rtl w:val="0"/>
        </w:rPr>
      </w:pPr>
    </w:p>
    <w:p>
      <w:pPr>
        <w:pStyle w:val="Predefinição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Verdana" w:hAnsi="Verdana"/>
          <w:sz w:val="26"/>
          <w:szCs w:val="26"/>
          <w:rtl w:val="0"/>
          <w:lang w:val="pt-PT"/>
        </w:rPr>
        <w:t>Screenshot of the values on Intellij:</w:t>
      </w:r>
      <w:r>
        <w:rPr>
          <w:rFonts w:ascii="Verdana" w:cs="Verdana" w:hAnsi="Verdana" w:eastAsia="Verdana"/>
          <w:sz w:val="26"/>
          <w:szCs w:val="26"/>
          <w:rtl w:val="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309493</wp:posOffset>
            </wp:positionV>
            <wp:extent cx="6120057" cy="2224995"/>
            <wp:effectExtent l="0" t="0" r="0" b="0"/>
            <wp:wrapTopAndBottom distT="152400" distB="152400"/>
            <wp:docPr id="1073741825" name="officeArt object" descr="WhatsApp Image 2022-12-04 at 16.30.2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hatsApp Image 2022-12-04 at 16.30.27.jpeg" descr="WhatsApp Image 2022-12-04 at 16.30.27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249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Openproof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a tabela 1">
    <w:name w:val="Estilo da tabela 1"/>
    <w:next w:val="Estilo da tabela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Estilo da tabela 2">
    <w:name w:val="Estilo da tabela 2"/>
    <w:next w:val="Estilo da tabela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Predefinição">
    <w:name w:val="Predefinição"/>
    <w:next w:val="Predefiniçã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