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42"/>
        </w:rPr>
        <w:t>Outlier DNA Methylation in TCGA-BRCA</w:t>
      </w:r>
    </w:p>
    <w:p>
      <w:pPr>
        <w:spacing w:after="40"/>
        <w:jc w:val="center"/>
      </w:pPr>
      <w:r>
        <w:rPr>
          <w:b w:val="0"/>
          <w:i w:val="0"/>
          <w:color w:val="606060"/>
          <w:sz w:val="24"/>
        </w:rPr>
        <w:t>Progress report for the meeting of 3 September 2026</w:t>
      </w:r>
    </w:p>
    <w:p>
      <w:pPr>
        <w:spacing w:after="320"/>
        <w:jc w:val="center"/>
      </w:pPr>
      <w:r>
        <w:rPr>
          <w:b w:val="0"/>
          <w:i w:val="0"/>
          <w:color w:val="606060"/>
          <w:sz w:val="21"/>
        </w:rPr>
        <w:t>Anam Giri</w:t>
      </w:r>
    </w:p>
    <w:tbl>
      <w:tblPr>
        <w:tblStyle w:val="TableGrid"/>
        <w:tblW w:type="auto" w:w="0"/>
        <w:tblLook w:firstColumn="1" w:firstRow="1" w:lastColumn="0" w:lastRow="0" w:noHBand="0" w:noVBand="1" w:val="04A0"/>
      </w:tblPr>
      <w:tblGrid>
        <w:gridCol w:w="9648"/>
      </w:tblGrid>
      <w:tr>
        <w:tc>
          <w:tcPr>
            <w:tcW w:type="dxa" w:w="9648"/>
            <w:shd w:fill="E8EEF7"/>
          </w:tcPr>
          <w:p>
            <w:pPr>
              <w:spacing w:after="60"/>
            </w:pPr>
            <w:r/>
            <w:r>
              <w:rPr>
                <w:b/>
                <w:color w:val="1F3864"/>
                <w:sz w:val="20"/>
              </w:rPr>
              <w:t>What this report is</w:t>
            </w:r>
          </w:p>
          <w:p>
            <w:pPr>
              <w:spacing w:after="40"/>
            </w:pPr>
            <w:r>
              <w:rPr>
                <w:b w:val="0"/>
                <w:i w:val="0"/>
                <w:sz w:val="19"/>
              </w:rPr>
              <w:t>It answers the four questions in the pre-meeting email — where the contrary flags come from, whether a state-pooled threshold works, whether the OutlierMeth parameters can be tuned, and what the Borealis and epimutacions packages do — and then reports what came out of answering them: a correction to how the external reference has been described, a measured replacement for the one assumption the reproducibility argument rested on, and five candidate fixes scored against each other.</w:t>
              <w:br/>
              <w:br/>
              <w:t>Every number is reproducible from a named script and CSV in the project repository, listed in the appendix. Where a claim is not supported, it is labelled as such rather than softened.</w:t>
            </w:r>
          </w:p>
        </w:tc>
      </w:tr>
    </w:tbl>
    <w:p>
      <w:pPr>
        <w:spacing w:after="80"/>
      </w:pPr>
    </w:p>
    <w:p>
      <w:pPr>
        <w:pStyle w:val="Heading1"/>
      </w:pPr>
      <w:r>
        <w:t>Summary</w:t>
      </w:r>
    </w:p>
    <w:p>
      <w:r>
        <w:rPr>
          <w:b/>
          <w:i w:val="0"/>
        </w:rPr>
        <w:t>The four questions, answered.</w:t>
      </w:r>
    </w:p>
    <w:tbl>
      <w:tblPr>
        <w:tblStyle w:val="TableGrid"/>
        <w:tblW w:type="auto" w:w="0"/>
        <w:jc w:val="center"/>
        <w:tblLook w:firstColumn="1" w:firstRow="1" w:lastColumn="0" w:lastRow="0" w:noHBand="0" w:noVBand="1" w:val="04A0"/>
      </w:tblPr>
      <w:tblGrid>
        <w:gridCol w:w="3216"/>
        <w:gridCol w:w="3216"/>
        <w:gridCol w:w="3216"/>
      </w:tblGrid>
      <w:tr>
        <w:tc>
          <w:tcPr>
            <w:tcW w:type="dxa" w:w="432"/>
            <w:shd w:fill="1F3864"/>
          </w:tcPr>
          <w:p>
            <w:pPr>
              <w:spacing w:after="20"/>
            </w:pPr>
            <w:r/>
            <w:r>
              <w:rPr>
                <w:b/>
                <w:color w:val="FFFFFF"/>
                <w:sz w:val="18"/>
              </w:rPr>
              <w:t>#</w:t>
            </w:r>
          </w:p>
        </w:tc>
        <w:tc>
          <w:tcPr>
            <w:tcW w:type="dxa" w:w="4320"/>
            <w:shd w:fill="1F3864"/>
          </w:tcPr>
          <w:p>
            <w:pPr>
              <w:spacing w:after="20"/>
            </w:pPr>
            <w:r/>
            <w:r>
              <w:rPr>
                <w:b/>
                <w:color w:val="FFFFFF"/>
                <w:sz w:val="18"/>
              </w:rPr>
              <w:t>Question asked</w:t>
            </w:r>
          </w:p>
        </w:tc>
        <w:tc>
          <w:tcPr>
            <w:tcW w:type="dxa" w:w="4752"/>
            <w:shd w:fill="1F3864"/>
          </w:tcPr>
          <w:p>
            <w:pPr>
              <w:spacing w:after="20"/>
            </w:pPr>
            <w:r/>
            <w:r>
              <w:rPr>
                <w:b/>
                <w:color w:val="FFFFFF"/>
                <w:sz w:val="18"/>
              </w:rPr>
              <w:t>Answer</w:t>
            </w:r>
          </w:p>
        </w:tc>
      </w:tr>
      <w:tr>
        <w:tc>
          <w:tcPr>
            <w:tcW w:type="dxa" w:w="432"/>
          </w:tcPr>
          <w:p>
            <w:pPr>
              <w:spacing w:after="20"/>
            </w:pPr>
            <w:r/>
            <w:r>
              <w:rPr>
                <w:b w:val="0"/>
                <w:sz w:val="18"/>
              </w:rPr>
              <w:t>1</w:t>
            </w:r>
          </w:p>
        </w:tc>
        <w:tc>
          <w:tcPr>
            <w:tcW w:type="dxa" w:w="4320"/>
          </w:tcPr>
          <w:p>
            <w:pPr>
              <w:spacing w:after="20"/>
            </w:pPr>
            <w:r/>
            <w:r>
              <w:rPr>
                <w:b w:val="0"/>
                <w:sz w:val="18"/>
              </w:rPr>
              <w:t>For the 100 normal chr22 sites: are the contrary flags from all CG sites or 1–2? From 1–3 samples, or can every sample have a chance?</w:t>
            </w:r>
          </w:p>
        </w:tc>
        <w:tc>
          <w:tcPr>
            <w:tcW w:type="dxa" w:w="4752"/>
          </w:tcPr>
          <w:p>
            <w:pPr>
              <w:spacing w:after="20"/>
            </w:pPr>
            <w:r/>
            <w:r>
              <w:rPr>
                <w:b/>
                <w:sz w:val="18"/>
              </w:rPr>
              <w:t>Concentrated on sites, spread across samples.</w:t>
            </w:r>
            <w:r>
              <w:rPr>
                <w:b w:val="0"/>
                <w:sz w:val="18"/>
              </w:rPr>
              <w:t xml:space="preserve"> Half the sites of a state carry all of its contrary flags and the top two hold 57–86%. But 31 of 53 normal samples carry at least one (§1)</w:t>
            </w:r>
          </w:p>
        </w:tc>
      </w:tr>
      <w:tr>
        <w:tc>
          <w:tcPr>
            <w:tcW w:type="dxa" w:w="432"/>
          </w:tcPr>
          <w:p>
            <w:pPr>
              <w:spacing w:after="20"/>
            </w:pPr>
            <w:r/>
            <w:r>
              <w:rPr>
                <w:b w:val="0"/>
                <w:sz w:val="18"/>
              </w:rPr>
              <w:t>2</w:t>
            </w:r>
          </w:p>
        </w:tc>
        <w:tc>
          <w:tcPr>
            <w:tcW w:type="dxa" w:w="4320"/>
          </w:tcPr>
          <w:p>
            <w:pPr>
              <w:spacing w:after="20"/>
            </w:pPr>
            <w:r/>
            <w:r>
              <w:rPr>
                <w:b w:val="0"/>
                <w:sz w:val="18"/>
              </w:rPr>
              <w:t>Try a “bio-stat” flag: the &gt;96th percentile of the whole state pool, 8×53 for the L sites</w:t>
            </w:r>
          </w:p>
        </w:tc>
        <w:tc>
          <w:tcPr>
            <w:tcW w:type="dxa" w:w="4752"/>
          </w:tcPr>
          <w:p>
            <w:pPr>
              <w:spacing w:after="20"/>
            </w:pPr>
            <w:r/>
            <w:r>
              <w:rPr>
                <w:b/>
                <w:sz w:val="18"/>
              </w:rPr>
              <w:t>It works, with one change.</w:t>
            </w:r>
            <w:r>
              <w:rPr>
                <w:b w:val="0"/>
                <w:sz w:val="18"/>
              </w:rPr>
              <w:t xml:space="preserve"> Pool the deviation from each site's median, not raw beta, and use the whole chromosome rather than 424 cells. It removes the n = 53 degeneracy and makes the flag rate exactly state-independent (§2)</w:t>
            </w:r>
          </w:p>
        </w:tc>
      </w:tr>
      <w:tr>
        <w:tc>
          <w:tcPr>
            <w:tcW w:type="dxa" w:w="432"/>
          </w:tcPr>
          <w:p>
            <w:pPr>
              <w:spacing w:after="20"/>
            </w:pPr>
            <w:r/>
            <w:r>
              <w:rPr>
                <w:b w:val="0"/>
                <w:sz w:val="18"/>
              </w:rPr>
              <w:t>3</w:t>
            </w:r>
          </w:p>
        </w:tc>
        <w:tc>
          <w:tcPr>
            <w:tcW w:type="dxa" w:w="4320"/>
          </w:tcPr>
          <w:p>
            <w:pPr>
              <w:spacing w:after="20"/>
            </w:pPr>
            <w:r/>
            <w:r>
              <w:rPr>
                <w:b w:val="0"/>
                <w:sz w:val="18"/>
              </w:rPr>
              <w:t>Can the “parameter” setting be adjusted to make the external reference less sensitive?</w:t>
            </w:r>
          </w:p>
        </w:tc>
        <w:tc>
          <w:tcPr>
            <w:tcW w:type="dxa" w:w="4752"/>
          </w:tcPr>
          <w:p>
            <w:pPr>
              <w:spacing w:after="20"/>
            </w:pPr>
            <w:r/>
            <w:r>
              <w:rPr>
                <w:b/>
                <w:sz w:val="18"/>
              </w:rPr>
              <w:t>No.</w:t>
            </w:r>
            <w:r>
              <w:rPr>
                <w:b w:val="0"/>
                <w:sz w:val="18"/>
              </w:rPr>
              <w:t xml:space="preserve"> The p argument has two usable settings on this reference, not four, and even the strictest leaves 100% of the H-site flags below a beta shift of 0.10 (§3)</w:t>
            </w:r>
          </w:p>
        </w:tc>
      </w:tr>
      <w:tr>
        <w:tc>
          <w:tcPr>
            <w:tcW w:type="dxa" w:w="432"/>
          </w:tcPr>
          <w:p>
            <w:pPr>
              <w:spacing w:after="20"/>
            </w:pPr>
            <w:r/>
            <w:r>
              <w:rPr>
                <w:b w:val="0"/>
                <w:sz w:val="18"/>
              </w:rPr>
              <w:t>4</w:t>
            </w:r>
          </w:p>
        </w:tc>
        <w:tc>
          <w:tcPr>
            <w:tcW w:type="dxa" w:w="4320"/>
          </w:tcPr>
          <w:p>
            <w:pPr>
              <w:spacing w:after="20"/>
            </w:pPr>
            <w:r/>
            <w:r>
              <w:rPr>
                <w:b w:val="0"/>
                <w:sz w:val="18"/>
              </w:rPr>
              <w:t>Does OutlierMeth report or identify outlying samples? And check Borealis and epimutacions</w:t>
            </w:r>
          </w:p>
        </w:tc>
        <w:tc>
          <w:tcPr>
            <w:tcW w:type="dxa" w:w="4752"/>
          </w:tcPr>
          <w:p>
            <w:pPr>
              <w:spacing w:after="20"/>
            </w:pPr>
            <w:r/>
            <w:r>
              <w:rPr>
                <w:b/>
                <w:sz w:val="18"/>
              </w:rPr>
              <w:t>It does not</w:t>
            </w:r>
            <w:r>
              <w:rPr>
                <w:b w:val="0"/>
                <w:sz w:val="18"/>
              </w:rPr>
              <w:t xml:space="preserve"> — it returns a CpG × sample matrix and nothing else. Both other packages carry the missing piece: an explicit magnitude requirement (§4)</w:t>
            </w:r>
          </w:p>
        </w:tc>
      </w:tr>
    </w:tbl>
    <w:p>
      <w:pPr>
        <w:spacing w:after="60"/>
      </w:pPr>
    </w:p>
    <w:p>
      <w:pPr>
        <w:spacing w:after="220"/>
      </w:pPr>
      <w:r>
        <w:rPr>
          <w:i/>
          <w:color w:val="606060"/>
          <w:sz w:val="16"/>
        </w:rPr>
        <w:t>Full detail: results.md §§10–13 and LITERATURE.md in the repository.</w:t>
      </w:r>
    </w:p>
    <w:tbl>
      <w:tblPr>
        <w:tblStyle w:val="TableGrid"/>
        <w:tblW w:type="auto" w:w="0"/>
        <w:tblLook w:firstColumn="1" w:firstRow="1" w:lastColumn="0" w:lastRow="0" w:noHBand="0" w:noVBand="1" w:val="04A0"/>
      </w:tblPr>
      <w:tblGrid>
        <w:gridCol w:w="9648"/>
      </w:tblGrid>
      <w:tr>
        <w:tc>
          <w:tcPr>
            <w:tcW w:type="dxa" w:w="9648"/>
            <w:shd w:fill="FDF0F0"/>
          </w:tcPr>
          <w:p>
            <w:pPr>
              <w:spacing w:after="60"/>
            </w:pPr>
            <w:r/>
            <w:r>
              <w:rPr>
                <w:b/>
                <w:color w:val="1F3864"/>
                <w:sz w:val="20"/>
              </w:rPr>
              <w:t>One correction before anything else</w:t>
            </w:r>
          </w:p>
          <w:p>
            <w:pPr>
              <w:spacing w:after="40"/>
            </w:pPr>
            <w:r>
              <w:rPr>
                <w:b w:val="0"/>
                <w:i w:val="0"/>
                <w:sz w:val="19"/>
              </w:rPr>
              <w:t xml:space="preserve">Previous reports described the external reference as </w:t>
            </w:r>
            <w:r>
              <w:rPr>
                <w:b/>
                <w:i w:val="0"/>
                <w:sz w:val="19"/>
              </w:rPr>
              <w:t>2,015 samples across 25 tissue types</w:t>
            </w:r>
            <w:r>
              <w:rPr>
                <w:b w:val="0"/>
                <w:i w:val="0"/>
                <w:sz w:val="19"/>
              </w:rPr>
              <w:t xml:space="preserve">. That is the combined TCGA-GEO panel. This project loads tcga.rda and calls flagMeth(…, reference = tcga), which is </w:t>
            </w:r>
            <w:r>
              <w:rPr>
                <w:b/>
                <w:i w:val="0"/>
                <w:sz w:val="19"/>
              </w:rPr>
              <w:t>747 TCGA normal samples across 21 tissue types</w:t>
            </w:r>
            <w:r>
              <w:rPr>
                <w:b w:val="0"/>
                <w:i w:val="0"/>
                <w:sz w:val="19"/>
              </w:rPr>
              <w:t>.</w:t>
              <w:br/>
              <w:br/>
              <w:t>The code was never ambiguous; the write-up was wrong, and it has been corrected throughout. It matters, and it makes the external arm harder to defend rather than easier: at n = 747, three of the four significance levels the package offers collapse onto the reference maximum (§3).</w:t>
            </w:r>
          </w:p>
        </w:tc>
      </w:tr>
    </w:tbl>
    <w:p>
      <w:pPr>
        <w:spacing w:after="80"/>
      </w:pPr>
    </w:p>
    <w:p>
      <w:r>
        <w:rPr>
          <w:b/>
          <w:i w:val="0"/>
        </w:rPr>
        <w:t>What changed in the conclusions.</w:t>
      </w:r>
      <w:r>
        <w:rPr>
          <w:b w:val="0"/>
          <w:i w:val="0"/>
        </w:rPr>
        <w:t xml:space="preserve"> Nothing already reported is overturned. Three things are now settled that were open:</w:t>
      </w:r>
    </w:p>
    <w:p>
      <w:pPr>
        <w:pStyle w:val="ListBullet"/>
        <w:spacing w:after="60"/>
      </w:pPr>
      <w:r>
        <w:rPr>
          <w:b w:val="0"/>
          <w:i w:val="0"/>
        </w:rPr>
        <w:t>The reproducibility argument no longer rests on a literature value. The noise level is measured from this cohort's own adjacent probes, and the assumed 0.01 sits inside the measured range.</w:t>
      </w:r>
    </w:p>
    <w:p>
      <w:pPr>
        <w:pStyle w:val="ListBullet"/>
        <w:spacing w:after="60"/>
      </w:pPr>
      <w:r>
        <w:rPr>
          <w:b w:val="0"/>
          <w:i w:val="0"/>
        </w:rPr>
        <w:t>Tuning the package's parameters is ruled out as an alternative to adding a magnitude floor — not argued, computed.</w:t>
      </w:r>
    </w:p>
    <w:p>
      <w:pPr>
        <w:pStyle w:val="ListBullet"/>
        <w:spacing w:after="60"/>
      </w:pPr>
      <w:r>
        <w:rPr>
          <w:b w:val="0"/>
          <w:i w:val="0"/>
        </w:rPr>
        <w:t>The flat 0.10 floor survived a head-to-head against four elaborations of it, including the 0.05 proposed in the email.</w:t>
      </w:r>
    </w:p>
    <w:p>
      <w:r>
        <w:br w:type="page"/>
      </w:r>
    </w:p>
    <w:p>
      <w:pPr>
        <w:pStyle w:val="Heading1"/>
      </w:pPr>
      <w:r>
        <w:t>1. Where the contrary flags come from</w:t>
      </w:r>
    </w:p>
    <w:p>
      <w:r>
        <w:rPr>
          <w:b w:val="0"/>
          <w:i w:val="0"/>
        </w:rPr>
        <w:t xml:space="preserve">A </w:t>
      </w:r>
      <w:r>
        <w:rPr>
          <w:b/>
          <w:i w:val="0"/>
        </w:rPr>
        <w:t>contrary flag</w:t>
      </w:r>
      <w:r>
        <w:rPr>
          <w:b w:val="0"/>
          <w:i w:val="0"/>
        </w:rPr>
        <w:t xml:space="preserve"> is one that runs against the state the CpG already sits in: a “too low” call at a site that is unmethylated in everyone, or a “too high” call at a site that is fully methylated in everyone. The email listed the four such cells in the 100-CpG normal window and asked where they come from.</w:t>
      </w:r>
    </w:p>
    <w:p>
      <w:r>
        <w:rPr>
          <w:b w:val="0"/>
          <w:i w:val="0"/>
        </w:rPr>
        <w:t xml:space="preserve">The counts reproduce exactly, with one difference: the H cell is </w:t>
      </w:r>
      <w:r>
        <w:rPr>
          <w:b/>
          <w:i w:val="0"/>
        </w:rPr>
        <w:t>10 flags across 11 H sites</w:t>
      </w:r>
      <w:r>
        <w:rPr>
          <w:b w:val="0"/>
          <w:i w:val="0"/>
        </w:rPr>
        <w:t>, not 11 flags.</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605"/>
            <w:shd w:fill="1F3864"/>
          </w:tcPr>
          <w:p>
            <w:pPr>
              <w:spacing w:after="20"/>
            </w:pPr>
            <w:r/>
            <w:r>
              <w:rPr>
                <w:b/>
                <w:color w:val="FFFFFF"/>
                <w:sz w:val="17"/>
              </w:rPr>
              <w:t>state</w:t>
            </w:r>
          </w:p>
        </w:tc>
        <w:tc>
          <w:tcPr>
            <w:tcW w:type="dxa" w:w="461"/>
            <w:shd w:fill="1F3864"/>
          </w:tcPr>
          <w:p>
            <w:pPr>
              <w:spacing w:after="20"/>
            </w:pPr>
            <w:r/>
            <w:r>
              <w:rPr>
                <w:b/>
                <w:color w:val="FFFFFF"/>
                <w:sz w:val="17"/>
              </w:rPr>
              <w:t>dir</w:t>
            </w:r>
          </w:p>
        </w:tc>
        <w:tc>
          <w:tcPr>
            <w:tcW w:type="dxa" w:w="605"/>
            <w:shd w:fill="1F3864"/>
          </w:tcPr>
          <w:p>
            <w:pPr>
              <w:spacing w:after="20"/>
            </w:pPr>
            <w:r/>
            <w:r>
              <w:rPr>
                <w:b/>
                <w:color w:val="FFFFFF"/>
                <w:sz w:val="17"/>
              </w:rPr>
              <w:t>flags</w:t>
            </w:r>
          </w:p>
        </w:tc>
        <w:tc>
          <w:tcPr>
            <w:tcW w:type="dxa" w:w="893"/>
            <w:shd w:fill="1F3864"/>
          </w:tcPr>
          <w:p>
            <w:pPr>
              <w:spacing w:after="20"/>
            </w:pPr>
            <w:r/>
            <w:r>
              <w:rPr>
                <w:b/>
                <w:color w:val="FFFFFF"/>
                <w:sz w:val="17"/>
              </w:rPr>
              <w:t>sites in state</w:t>
            </w:r>
          </w:p>
        </w:tc>
        <w:tc>
          <w:tcPr>
            <w:tcW w:type="dxa" w:w="893"/>
            <w:shd w:fill="1F3864"/>
          </w:tcPr>
          <w:p>
            <w:pPr>
              <w:spacing w:after="20"/>
            </w:pPr>
            <w:r/>
            <w:r>
              <w:rPr>
                <w:b/>
                <w:color w:val="FFFFFF"/>
                <w:sz w:val="17"/>
              </w:rPr>
              <w:t>sites with ≥1</w:t>
            </w:r>
          </w:p>
        </w:tc>
        <w:tc>
          <w:tcPr>
            <w:tcW w:type="dxa" w:w="893"/>
            <w:shd w:fill="1F3864"/>
          </w:tcPr>
          <w:p>
            <w:pPr>
              <w:spacing w:after="20"/>
            </w:pPr>
            <w:r/>
            <w:r>
              <w:rPr>
                <w:b/>
                <w:color w:val="FFFFFF"/>
                <w:sz w:val="17"/>
              </w:rPr>
              <w:t>most at one site</w:t>
            </w:r>
          </w:p>
        </w:tc>
        <w:tc>
          <w:tcPr>
            <w:tcW w:type="dxa" w:w="950"/>
            <w:shd w:fill="1F3864"/>
          </w:tcPr>
          <w:p>
            <w:pPr>
              <w:spacing w:after="20"/>
            </w:pPr>
            <w:r/>
            <w:r>
              <w:rPr>
                <w:b/>
                <w:color w:val="FFFFFF"/>
                <w:sz w:val="17"/>
              </w:rPr>
              <w:t>top-2 sites hold</w:t>
            </w:r>
          </w:p>
        </w:tc>
        <w:tc>
          <w:tcPr>
            <w:tcW w:type="dxa" w:w="979"/>
            <w:shd w:fill="1F3864"/>
          </w:tcPr>
          <w:p>
            <w:pPr>
              <w:spacing w:after="20"/>
            </w:pPr>
            <w:r/>
            <w:r>
              <w:rPr>
                <w:b/>
                <w:color w:val="FFFFFF"/>
                <w:sz w:val="17"/>
              </w:rPr>
              <w:t>samples with ≥1</w:t>
            </w:r>
          </w:p>
        </w:tc>
        <w:tc>
          <w:tcPr>
            <w:tcW w:type="dxa" w:w="893"/>
            <w:shd w:fill="1F3864"/>
          </w:tcPr>
          <w:p>
            <w:pPr>
              <w:spacing w:after="20"/>
            </w:pPr>
            <w:r/>
            <w:r>
              <w:rPr>
                <w:b/>
                <w:color w:val="FFFFFF"/>
                <w:sz w:val="17"/>
              </w:rPr>
              <w:t>most in one sample</w:t>
            </w:r>
          </w:p>
        </w:tc>
        <w:tc>
          <w:tcPr>
            <w:tcW w:type="dxa" w:w="950"/>
            <w:shd w:fill="1F3864"/>
          </w:tcPr>
          <w:p>
            <w:pPr>
              <w:spacing w:after="20"/>
            </w:pPr>
            <w:r/>
            <w:r>
              <w:rPr>
                <w:b/>
                <w:color w:val="FFFFFF"/>
                <w:sz w:val="17"/>
              </w:rPr>
              <w:t>top-3 samples hold</w:t>
            </w:r>
          </w:p>
        </w:tc>
      </w:tr>
      <w:tr>
        <w:tc>
          <w:tcPr>
            <w:tcW w:type="dxa" w:w="605"/>
          </w:tcPr>
          <w:p>
            <w:pPr>
              <w:spacing w:after="20"/>
            </w:pPr>
            <w:r/>
            <w:r>
              <w:rPr>
                <w:b w:val="0"/>
                <w:sz w:val="17"/>
              </w:rPr>
              <w:t>L</w:t>
            </w:r>
          </w:p>
        </w:tc>
        <w:tc>
          <w:tcPr>
            <w:tcW w:type="dxa" w:w="461"/>
          </w:tcPr>
          <w:p>
            <w:pPr>
              <w:spacing w:after="20"/>
            </w:pPr>
            <w:r/>
            <w:r>
              <w:rPr>
                <w:b w:val="0"/>
                <w:sz w:val="17"/>
              </w:rPr>
              <w:t>-1</w:t>
            </w:r>
          </w:p>
        </w:tc>
        <w:tc>
          <w:tcPr>
            <w:tcW w:type="dxa" w:w="605"/>
          </w:tcPr>
          <w:p>
            <w:pPr>
              <w:spacing w:after="20"/>
            </w:pPr>
            <w:r/>
            <w:r>
              <w:rPr>
                <w:b w:val="0"/>
                <w:sz w:val="17"/>
              </w:rPr>
              <w:t>8</w:t>
            </w:r>
          </w:p>
        </w:tc>
        <w:tc>
          <w:tcPr>
            <w:tcW w:type="dxa" w:w="893"/>
          </w:tcPr>
          <w:p>
            <w:pPr>
              <w:spacing w:after="20"/>
            </w:pPr>
            <w:r/>
            <w:r>
              <w:rPr>
                <w:b w:val="0"/>
                <w:sz w:val="17"/>
              </w:rPr>
              <w:t>8</w:t>
            </w:r>
          </w:p>
        </w:tc>
        <w:tc>
          <w:tcPr>
            <w:tcW w:type="dxa" w:w="893"/>
          </w:tcPr>
          <w:p>
            <w:pPr>
              <w:spacing w:after="20"/>
            </w:pPr>
            <w:r/>
            <w:r>
              <w:rPr>
                <w:b/>
                <w:sz w:val="17"/>
              </w:rPr>
              <w:t>4</w:t>
            </w:r>
          </w:p>
        </w:tc>
        <w:tc>
          <w:tcPr>
            <w:tcW w:type="dxa" w:w="893"/>
          </w:tcPr>
          <w:p>
            <w:pPr>
              <w:spacing w:after="20"/>
            </w:pPr>
            <w:r/>
            <w:r>
              <w:rPr>
                <w:b w:val="0"/>
                <w:sz w:val="17"/>
              </w:rPr>
              <w:t>4</w:t>
            </w:r>
          </w:p>
        </w:tc>
        <w:tc>
          <w:tcPr>
            <w:tcW w:type="dxa" w:w="950"/>
          </w:tcPr>
          <w:p>
            <w:pPr>
              <w:spacing w:after="20"/>
            </w:pPr>
            <w:r/>
            <w:r>
              <w:rPr>
                <w:b/>
                <w:sz w:val="17"/>
              </w:rPr>
              <w:t>75%</w:t>
            </w:r>
          </w:p>
        </w:tc>
        <w:tc>
          <w:tcPr>
            <w:tcW w:type="dxa" w:w="979"/>
          </w:tcPr>
          <w:p>
            <w:pPr>
              <w:spacing w:after="20"/>
            </w:pPr>
            <w:r/>
            <w:r>
              <w:rPr>
                <w:b w:val="0"/>
                <w:sz w:val="17"/>
              </w:rPr>
              <w:t>8 / 53</w:t>
            </w:r>
          </w:p>
        </w:tc>
        <w:tc>
          <w:tcPr>
            <w:tcW w:type="dxa" w:w="893"/>
          </w:tcPr>
          <w:p>
            <w:pPr>
              <w:spacing w:after="20"/>
            </w:pPr>
            <w:r/>
            <w:r>
              <w:rPr>
                <w:b w:val="0"/>
                <w:sz w:val="17"/>
              </w:rPr>
              <w:t>1</w:t>
            </w:r>
          </w:p>
        </w:tc>
        <w:tc>
          <w:tcPr>
            <w:tcW w:type="dxa" w:w="950"/>
          </w:tcPr>
          <w:p>
            <w:pPr>
              <w:spacing w:after="20"/>
            </w:pPr>
            <w:r/>
            <w:r>
              <w:rPr>
                <w:b w:val="0"/>
                <w:sz w:val="17"/>
              </w:rPr>
              <w:t>37.5%</w:t>
            </w:r>
          </w:p>
        </w:tc>
      </w:tr>
      <w:tr>
        <w:tc>
          <w:tcPr>
            <w:tcW w:type="dxa" w:w="605"/>
          </w:tcPr>
          <w:p>
            <w:pPr>
              <w:spacing w:after="20"/>
            </w:pPr>
            <w:r/>
            <w:r>
              <w:rPr>
                <w:b w:val="0"/>
                <w:sz w:val="17"/>
              </w:rPr>
              <w:t>LM</w:t>
            </w:r>
          </w:p>
        </w:tc>
        <w:tc>
          <w:tcPr>
            <w:tcW w:type="dxa" w:w="461"/>
          </w:tcPr>
          <w:p>
            <w:pPr>
              <w:spacing w:after="20"/>
            </w:pPr>
            <w:r/>
            <w:r>
              <w:rPr>
                <w:b w:val="0"/>
                <w:sz w:val="17"/>
              </w:rPr>
              <w:t>-1</w:t>
            </w:r>
          </w:p>
        </w:tc>
        <w:tc>
          <w:tcPr>
            <w:tcW w:type="dxa" w:w="605"/>
          </w:tcPr>
          <w:p>
            <w:pPr>
              <w:spacing w:after="20"/>
            </w:pPr>
            <w:r/>
            <w:r>
              <w:rPr>
                <w:b w:val="0"/>
                <w:sz w:val="17"/>
              </w:rPr>
              <w:t>21</w:t>
            </w:r>
          </w:p>
        </w:tc>
        <w:tc>
          <w:tcPr>
            <w:tcW w:type="dxa" w:w="893"/>
          </w:tcPr>
          <w:p>
            <w:pPr>
              <w:spacing w:after="20"/>
            </w:pPr>
            <w:r/>
            <w:r>
              <w:rPr>
                <w:b w:val="0"/>
                <w:sz w:val="17"/>
              </w:rPr>
              <w:t>14</w:t>
            </w:r>
          </w:p>
        </w:tc>
        <w:tc>
          <w:tcPr>
            <w:tcW w:type="dxa" w:w="893"/>
          </w:tcPr>
          <w:p>
            <w:pPr>
              <w:spacing w:after="20"/>
            </w:pPr>
            <w:r/>
            <w:r>
              <w:rPr>
                <w:b/>
                <w:sz w:val="17"/>
              </w:rPr>
              <w:t>8</w:t>
            </w:r>
          </w:p>
        </w:tc>
        <w:tc>
          <w:tcPr>
            <w:tcW w:type="dxa" w:w="893"/>
          </w:tcPr>
          <w:p>
            <w:pPr>
              <w:spacing w:after="20"/>
            </w:pPr>
            <w:r/>
            <w:r>
              <w:rPr>
                <w:b w:val="0"/>
                <w:sz w:val="17"/>
              </w:rPr>
              <w:t>8</w:t>
            </w:r>
          </w:p>
        </w:tc>
        <w:tc>
          <w:tcPr>
            <w:tcW w:type="dxa" w:w="950"/>
          </w:tcPr>
          <w:p>
            <w:pPr>
              <w:spacing w:after="20"/>
            </w:pPr>
            <w:r/>
            <w:r>
              <w:rPr>
                <w:b/>
                <w:sz w:val="17"/>
              </w:rPr>
              <w:t>57.1%</w:t>
            </w:r>
          </w:p>
        </w:tc>
        <w:tc>
          <w:tcPr>
            <w:tcW w:type="dxa" w:w="979"/>
          </w:tcPr>
          <w:p>
            <w:pPr>
              <w:spacing w:after="20"/>
            </w:pPr>
            <w:r/>
            <w:r>
              <w:rPr>
                <w:b w:val="0"/>
                <w:sz w:val="17"/>
              </w:rPr>
              <w:t>14 / 53</w:t>
            </w:r>
          </w:p>
        </w:tc>
        <w:tc>
          <w:tcPr>
            <w:tcW w:type="dxa" w:w="893"/>
          </w:tcPr>
          <w:p>
            <w:pPr>
              <w:spacing w:after="20"/>
            </w:pPr>
            <w:r/>
            <w:r>
              <w:rPr>
                <w:b w:val="0"/>
                <w:sz w:val="17"/>
              </w:rPr>
              <w:t>3</w:t>
            </w:r>
          </w:p>
        </w:tc>
        <w:tc>
          <w:tcPr>
            <w:tcW w:type="dxa" w:w="950"/>
          </w:tcPr>
          <w:p>
            <w:pPr>
              <w:spacing w:after="20"/>
            </w:pPr>
            <w:r/>
            <w:r>
              <w:rPr>
                <w:b w:val="0"/>
                <w:sz w:val="17"/>
              </w:rPr>
              <w:t>33.3%</w:t>
            </w:r>
          </w:p>
        </w:tc>
      </w:tr>
      <w:tr>
        <w:tc>
          <w:tcPr>
            <w:tcW w:type="dxa" w:w="605"/>
          </w:tcPr>
          <w:p>
            <w:pPr>
              <w:spacing w:after="20"/>
            </w:pPr>
            <w:r/>
            <w:r>
              <w:rPr>
                <w:b w:val="0"/>
                <w:sz w:val="17"/>
              </w:rPr>
              <w:t>H</w:t>
            </w:r>
          </w:p>
        </w:tc>
        <w:tc>
          <w:tcPr>
            <w:tcW w:type="dxa" w:w="461"/>
          </w:tcPr>
          <w:p>
            <w:pPr>
              <w:spacing w:after="20"/>
            </w:pPr>
            <w:r/>
            <w:r>
              <w:rPr>
                <w:b w:val="0"/>
                <w:sz w:val="17"/>
              </w:rPr>
              <w:t>+1</w:t>
            </w:r>
          </w:p>
        </w:tc>
        <w:tc>
          <w:tcPr>
            <w:tcW w:type="dxa" w:w="605"/>
          </w:tcPr>
          <w:p>
            <w:pPr>
              <w:spacing w:after="20"/>
            </w:pPr>
            <w:r/>
            <w:r>
              <w:rPr>
                <w:b w:val="0"/>
                <w:sz w:val="17"/>
              </w:rPr>
              <w:t>10</w:t>
            </w:r>
          </w:p>
        </w:tc>
        <w:tc>
          <w:tcPr>
            <w:tcW w:type="dxa" w:w="893"/>
          </w:tcPr>
          <w:p>
            <w:pPr>
              <w:spacing w:after="20"/>
            </w:pPr>
            <w:r/>
            <w:r>
              <w:rPr>
                <w:b w:val="0"/>
                <w:sz w:val="17"/>
              </w:rPr>
              <w:t>11</w:t>
            </w:r>
          </w:p>
        </w:tc>
        <w:tc>
          <w:tcPr>
            <w:tcW w:type="dxa" w:w="893"/>
          </w:tcPr>
          <w:p>
            <w:pPr>
              <w:spacing w:after="20"/>
            </w:pPr>
            <w:r/>
            <w:r>
              <w:rPr>
                <w:b/>
                <w:sz w:val="17"/>
              </w:rPr>
              <w:t>4</w:t>
            </w:r>
          </w:p>
        </w:tc>
        <w:tc>
          <w:tcPr>
            <w:tcW w:type="dxa" w:w="893"/>
          </w:tcPr>
          <w:p>
            <w:pPr>
              <w:spacing w:after="20"/>
            </w:pPr>
            <w:r/>
            <w:r>
              <w:rPr>
                <w:b w:val="0"/>
                <w:sz w:val="17"/>
              </w:rPr>
              <w:t>4</w:t>
            </w:r>
          </w:p>
        </w:tc>
        <w:tc>
          <w:tcPr>
            <w:tcW w:type="dxa" w:w="950"/>
          </w:tcPr>
          <w:p>
            <w:pPr>
              <w:spacing w:after="20"/>
            </w:pPr>
            <w:r/>
            <w:r>
              <w:rPr>
                <w:b/>
                <w:sz w:val="17"/>
              </w:rPr>
              <w:t>70%</w:t>
            </w:r>
          </w:p>
        </w:tc>
        <w:tc>
          <w:tcPr>
            <w:tcW w:type="dxa" w:w="979"/>
          </w:tcPr>
          <w:p>
            <w:pPr>
              <w:spacing w:after="20"/>
            </w:pPr>
            <w:r/>
            <w:r>
              <w:rPr>
                <w:b w:val="0"/>
                <w:sz w:val="17"/>
              </w:rPr>
              <w:t>9 / 53</w:t>
            </w:r>
          </w:p>
        </w:tc>
        <w:tc>
          <w:tcPr>
            <w:tcW w:type="dxa" w:w="893"/>
          </w:tcPr>
          <w:p>
            <w:pPr>
              <w:spacing w:after="20"/>
            </w:pPr>
            <w:r/>
            <w:r>
              <w:rPr>
                <w:b w:val="0"/>
                <w:sz w:val="17"/>
              </w:rPr>
              <w:t>2</w:t>
            </w:r>
          </w:p>
        </w:tc>
        <w:tc>
          <w:tcPr>
            <w:tcW w:type="dxa" w:w="950"/>
          </w:tcPr>
          <w:p>
            <w:pPr>
              <w:spacing w:after="20"/>
            </w:pPr>
            <w:r/>
            <w:r>
              <w:rPr>
                <w:b w:val="0"/>
                <w:sz w:val="17"/>
              </w:rPr>
              <w:t>40%</w:t>
            </w:r>
          </w:p>
        </w:tc>
      </w:tr>
      <w:tr>
        <w:tc>
          <w:tcPr>
            <w:tcW w:type="dxa" w:w="605"/>
          </w:tcPr>
          <w:p>
            <w:pPr>
              <w:spacing w:after="20"/>
            </w:pPr>
            <w:r/>
            <w:r>
              <w:rPr>
                <w:b w:val="0"/>
                <w:sz w:val="17"/>
              </w:rPr>
              <w:t>HM</w:t>
            </w:r>
          </w:p>
        </w:tc>
        <w:tc>
          <w:tcPr>
            <w:tcW w:type="dxa" w:w="461"/>
          </w:tcPr>
          <w:p>
            <w:pPr>
              <w:spacing w:after="20"/>
            </w:pPr>
            <w:r/>
            <w:r>
              <w:rPr>
                <w:b w:val="0"/>
                <w:sz w:val="17"/>
              </w:rPr>
              <w:t>+1</w:t>
            </w:r>
          </w:p>
        </w:tc>
        <w:tc>
          <w:tcPr>
            <w:tcW w:type="dxa" w:w="605"/>
          </w:tcPr>
          <w:p>
            <w:pPr>
              <w:spacing w:after="20"/>
            </w:pPr>
            <w:r/>
            <w:r>
              <w:rPr>
                <w:b w:val="0"/>
                <w:sz w:val="17"/>
              </w:rPr>
              <w:t>46</w:t>
            </w:r>
          </w:p>
        </w:tc>
        <w:tc>
          <w:tcPr>
            <w:tcW w:type="dxa" w:w="893"/>
          </w:tcPr>
          <w:p>
            <w:pPr>
              <w:spacing w:after="20"/>
            </w:pPr>
            <w:r/>
            <w:r>
              <w:rPr>
                <w:b w:val="0"/>
                <w:sz w:val="17"/>
              </w:rPr>
              <w:t>38</w:t>
            </w:r>
          </w:p>
        </w:tc>
        <w:tc>
          <w:tcPr>
            <w:tcW w:type="dxa" w:w="893"/>
          </w:tcPr>
          <w:p>
            <w:pPr>
              <w:spacing w:after="20"/>
            </w:pPr>
            <w:r/>
            <w:r>
              <w:rPr>
                <w:b/>
                <w:sz w:val="17"/>
              </w:rPr>
              <w:t>23</w:t>
            </w:r>
          </w:p>
        </w:tc>
        <w:tc>
          <w:tcPr>
            <w:tcW w:type="dxa" w:w="893"/>
          </w:tcPr>
          <w:p>
            <w:pPr>
              <w:spacing w:after="20"/>
            </w:pPr>
            <w:r/>
            <w:r>
              <w:rPr>
                <w:b w:val="0"/>
                <w:sz w:val="17"/>
              </w:rPr>
              <w:t>5</w:t>
            </w:r>
          </w:p>
        </w:tc>
        <w:tc>
          <w:tcPr>
            <w:tcW w:type="dxa" w:w="950"/>
          </w:tcPr>
          <w:p>
            <w:pPr>
              <w:spacing w:after="20"/>
            </w:pPr>
            <w:r/>
            <w:r>
              <w:rPr>
                <w:b/>
                <w:sz w:val="17"/>
              </w:rPr>
              <w:t>21.7%</w:t>
            </w:r>
          </w:p>
        </w:tc>
        <w:tc>
          <w:tcPr>
            <w:tcW w:type="dxa" w:w="979"/>
          </w:tcPr>
          <w:p>
            <w:pPr>
              <w:spacing w:after="20"/>
            </w:pPr>
            <w:r/>
            <w:r>
              <w:rPr>
                <w:b w:val="0"/>
                <w:sz w:val="17"/>
              </w:rPr>
              <w:t>19 / 53</w:t>
            </w:r>
          </w:p>
        </w:tc>
        <w:tc>
          <w:tcPr>
            <w:tcW w:type="dxa" w:w="893"/>
          </w:tcPr>
          <w:p>
            <w:pPr>
              <w:spacing w:after="20"/>
            </w:pPr>
            <w:r/>
            <w:r>
              <w:rPr>
                <w:b w:val="0"/>
                <w:sz w:val="17"/>
              </w:rPr>
              <w:t>7</w:t>
            </w:r>
          </w:p>
        </w:tc>
        <w:tc>
          <w:tcPr>
            <w:tcW w:type="dxa" w:w="950"/>
          </w:tcPr>
          <w:p>
            <w:pPr>
              <w:spacing w:after="20"/>
            </w:pPr>
            <w:r/>
            <w:r>
              <w:rPr>
                <w:b w:val="0"/>
                <w:sz w:val="17"/>
              </w:rPr>
              <w:t>34.8%</w:t>
            </w:r>
          </w:p>
        </w:tc>
      </w:tr>
    </w:tbl>
    <w:p>
      <w:pPr>
        <w:spacing w:after="60"/>
      </w:pPr>
    </w:p>
    <w:p>
      <w:pPr>
        <w:spacing w:after="220"/>
      </w:pPr>
      <w:r>
        <w:rPr>
          <w:i/>
          <w:color w:val="606060"/>
          <w:sz w:val="16"/>
        </w:rPr>
        <w:t>Results/Task29_Window100_ContraryDecomposition.csv · Scripts/Task29.ContraryFlagDecomposition.Sep03.2026.R</w:t>
      </w:r>
    </w:p>
    <w:p>
      <w:r>
        <w:rPr>
          <w:b/>
          <w:i w:val="0"/>
        </w:rPr>
        <w:t>Sites: concentrated.</w:t>
      </w:r>
      <w:r>
        <w:rPr>
          <w:b w:val="0"/>
          <w:i w:val="0"/>
        </w:rPr>
        <w:t xml:space="preserve"> Half the sites of a state carry every contrary flag it has. A Monte Carlo test against uniform allocation rejects at p = 0.0008 for the normal LM cell and below 0.0001 for the tumour one. In tumour, a single probe — cg15668074 — carries 19 of the 29 LM “too low” flags on its own.</w:t>
      </w:r>
    </w:p>
    <w:p>
      <w:r>
        <w:rPr>
          <w:b/>
          <w:i w:val="0"/>
        </w:rPr>
        <w:t>Samples: spread.</w:t>
      </w:r>
      <w:r>
        <w:rPr>
          <w:b w:val="0"/>
          <w:i w:val="0"/>
        </w:rPr>
        <w:t xml:space="preserve"> No sample holds more than 1–7 flags in any one cell, and pooling all four cells: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008"/>
            <w:shd w:fill="1F3864"/>
          </w:tcPr>
          <w:p>
            <w:pPr>
              <w:spacing w:after="20"/>
            </w:pPr>
            <w:r/>
            <w:r>
              <w:rPr>
                <w:b/>
                <w:color w:val="FFFFFF"/>
                <w:sz w:val="18"/>
              </w:rPr>
              <w:t>tissue</w:t>
            </w:r>
          </w:p>
        </w:tc>
        <w:tc>
          <w:tcPr>
            <w:tcW w:type="dxa" w:w="1296"/>
            <w:shd w:fill="1F3864"/>
          </w:tcPr>
          <w:p>
            <w:pPr>
              <w:spacing w:after="20"/>
            </w:pPr>
            <w:r/>
            <w:r>
              <w:rPr>
                <w:b/>
                <w:color w:val="FFFFFF"/>
                <w:sz w:val="18"/>
              </w:rPr>
              <w:t>contrary flags</w:t>
            </w:r>
          </w:p>
        </w:tc>
        <w:tc>
          <w:tcPr>
            <w:tcW w:type="dxa" w:w="1584"/>
            <w:shd w:fill="1F3864"/>
          </w:tcPr>
          <w:p>
            <w:pPr>
              <w:spacing w:after="20"/>
            </w:pPr>
            <w:r/>
            <w:r>
              <w:rPr>
                <w:b/>
                <w:color w:val="FFFFFF"/>
                <w:sz w:val="18"/>
              </w:rPr>
              <w:t>samples carrying ≥1</w:t>
            </w:r>
          </w:p>
        </w:tc>
        <w:tc>
          <w:tcPr>
            <w:tcW w:type="dxa" w:w="1152"/>
            <w:shd w:fill="1F3864"/>
          </w:tcPr>
          <w:p>
            <w:pPr>
              <w:spacing w:after="20"/>
            </w:pPr>
            <w:r/>
            <w:r>
              <w:rPr>
                <w:b/>
                <w:color w:val="FFFFFF"/>
                <w:sz w:val="18"/>
              </w:rPr>
              <w:t>top 3 hold</w:t>
            </w:r>
          </w:p>
        </w:tc>
        <w:tc>
          <w:tcPr>
            <w:tcW w:type="dxa" w:w="1584"/>
            <w:shd w:fill="1F3864"/>
          </w:tcPr>
          <w:p>
            <w:pPr>
              <w:spacing w:after="20"/>
            </w:pPr>
            <w:r/>
            <w:r>
              <w:rPr>
                <w:b/>
                <w:color w:val="FFFFFF"/>
                <w:sz w:val="18"/>
              </w:rPr>
              <w:t>uniform expectation</w:t>
            </w:r>
          </w:p>
        </w:tc>
        <w:tc>
          <w:tcPr>
            <w:tcW w:type="dxa" w:w="2736"/>
            <w:shd w:fill="1F3864"/>
          </w:tcPr>
          <w:p>
            <w:pPr>
              <w:spacing w:after="20"/>
            </w:pPr>
            <w:r/>
            <w:r>
              <w:rPr>
                <w:b/>
                <w:color w:val="FFFFFF"/>
                <w:sz w:val="18"/>
              </w:rPr>
              <w:t>leaders</w:t>
            </w:r>
          </w:p>
        </w:tc>
      </w:tr>
      <w:tr>
        <w:tc>
          <w:tcPr>
            <w:tcW w:type="dxa" w:w="1008"/>
          </w:tcPr>
          <w:p>
            <w:pPr>
              <w:spacing w:after="20"/>
            </w:pPr>
            <w:r/>
            <w:r>
              <w:rPr>
                <w:b w:val="0"/>
                <w:sz w:val="18"/>
              </w:rPr>
              <w:t>Normal</w:t>
            </w:r>
          </w:p>
        </w:tc>
        <w:tc>
          <w:tcPr>
            <w:tcW w:type="dxa" w:w="1296"/>
          </w:tcPr>
          <w:p>
            <w:pPr>
              <w:spacing w:after="20"/>
            </w:pPr>
            <w:r/>
            <w:r>
              <w:rPr>
                <w:b w:val="0"/>
                <w:sz w:val="18"/>
              </w:rPr>
              <w:t>85</w:t>
            </w:r>
          </w:p>
        </w:tc>
        <w:tc>
          <w:tcPr>
            <w:tcW w:type="dxa" w:w="1584"/>
          </w:tcPr>
          <w:p>
            <w:pPr>
              <w:spacing w:after="20"/>
            </w:pPr>
            <w:r/>
            <w:r>
              <w:rPr>
                <w:b/>
                <w:sz w:val="18"/>
              </w:rPr>
              <w:t>31 / 53</w:t>
            </w:r>
          </w:p>
        </w:tc>
        <w:tc>
          <w:tcPr>
            <w:tcW w:type="dxa" w:w="1152"/>
          </w:tcPr>
          <w:p>
            <w:pPr>
              <w:spacing w:after="20"/>
            </w:pPr>
            <w:r/>
            <w:r>
              <w:rPr>
                <w:b w:val="0"/>
                <w:sz w:val="18"/>
              </w:rPr>
              <w:t>27.1%</w:t>
            </w:r>
          </w:p>
        </w:tc>
        <w:tc>
          <w:tcPr>
            <w:tcW w:type="dxa" w:w="1584"/>
          </w:tcPr>
          <w:p>
            <w:pPr>
              <w:spacing w:after="20"/>
            </w:pPr>
            <w:r/>
            <w:r>
              <w:rPr>
                <w:b w:val="0"/>
                <w:sz w:val="18"/>
              </w:rPr>
              <w:t>5.7%</w:t>
            </w:r>
          </w:p>
        </w:tc>
        <w:tc>
          <w:tcPr>
            <w:tcW w:type="dxa" w:w="2736"/>
          </w:tcPr>
          <w:p>
            <w:pPr>
              <w:spacing w:after="20"/>
            </w:pPr>
            <w:r/>
            <w:r>
              <w:rPr>
                <w:b w:val="0"/>
                <w:sz w:val="18"/>
              </w:rPr>
              <w:t>N15 = 9, N48 = 9, N17 = 5</w:t>
            </w:r>
          </w:p>
        </w:tc>
      </w:tr>
      <w:tr>
        <w:tc>
          <w:tcPr>
            <w:tcW w:type="dxa" w:w="1008"/>
          </w:tcPr>
          <w:p>
            <w:pPr>
              <w:spacing w:after="20"/>
            </w:pPr>
            <w:r/>
            <w:r>
              <w:rPr>
                <w:b w:val="0"/>
                <w:sz w:val="18"/>
              </w:rPr>
              <w:t>Tumour</w:t>
            </w:r>
          </w:p>
        </w:tc>
        <w:tc>
          <w:tcPr>
            <w:tcW w:type="dxa" w:w="1296"/>
          </w:tcPr>
          <w:p>
            <w:pPr>
              <w:spacing w:after="20"/>
            </w:pPr>
            <w:r/>
            <w:r>
              <w:rPr>
                <w:b w:val="0"/>
                <w:sz w:val="18"/>
              </w:rPr>
              <w:t>76</w:t>
            </w:r>
          </w:p>
        </w:tc>
        <w:tc>
          <w:tcPr>
            <w:tcW w:type="dxa" w:w="1584"/>
          </w:tcPr>
          <w:p>
            <w:pPr>
              <w:spacing w:after="20"/>
            </w:pPr>
            <w:r/>
            <w:r>
              <w:rPr>
                <w:b/>
                <w:sz w:val="18"/>
              </w:rPr>
              <w:t>37 / 53</w:t>
            </w:r>
          </w:p>
        </w:tc>
        <w:tc>
          <w:tcPr>
            <w:tcW w:type="dxa" w:w="1152"/>
          </w:tcPr>
          <w:p>
            <w:pPr>
              <w:spacing w:after="20"/>
            </w:pPr>
            <w:r/>
            <w:r>
              <w:rPr>
                <w:b w:val="0"/>
                <w:sz w:val="18"/>
              </w:rPr>
              <w:t>19.7%</w:t>
            </w:r>
          </w:p>
        </w:tc>
        <w:tc>
          <w:tcPr>
            <w:tcW w:type="dxa" w:w="1584"/>
          </w:tcPr>
          <w:p>
            <w:pPr>
              <w:spacing w:after="20"/>
            </w:pPr>
            <w:r/>
            <w:r>
              <w:rPr>
                <w:b w:val="0"/>
                <w:sz w:val="18"/>
              </w:rPr>
              <w:t>5.7%</w:t>
            </w:r>
          </w:p>
        </w:tc>
        <w:tc>
          <w:tcPr>
            <w:tcW w:type="dxa" w:w="2736"/>
          </w:tcPr>
          <w:p>
            <w:pPr>
              <w:spacing w:after="20"/>
            </w:pPr>
            <w:r/>
            <w:r>
              <w:rPr>
                <w:b w:val="0"/>
                <w:sz w:val="18"/>
              </w:rPr>
              <w:t>T33 = 6, T36 = 5, T14 = 4</w:t>
            </w:r>
          </w:p>
        </w:tc>
      </w:tr>
    </w:tbl>
    <w:p>
      <w:pPr>
        <w:spacing w:after="60"/>
      </w:pPr>
    </w:p>
    <w:p>
      <w:pPr>
        <w:spacing w:after="220"/>
      </w:pPr>
      <w:r>
        <w:rPr>
          <w:i/>
          <w:color w:val="606060"/>
          <w:sz w:val="16"/>
        </w:rPr>
        <w:t>Results/Task29_Window100_ContraryBySample.csv</w:t>
      </w:r>
    </w:p>
    <w:p>
      <w:r>
        <w:rPr>
          <w:b w:val="0"/>
          <w:i w:val="0"/>
        </w:rPr>
        <w:t xml:space="preserve">So a </w:t>
      </w:r>
      <w:r>
        <w:rPr>
          <w:b/>
          <w:i w:val="0"/>
        </w:rPr>
        <w:t>majority</w:t>
      </w:r>
      <w:r>
        <w:rPr>
          <w:b w:val="0"/>
          <w:i w:val="0"/>
        </w:rPr>
        <w:t xml:space="preserve"> of samples can and do carry a contrary flag. The lead N15 and N17 hold is real but modest. N48 is new — it was not in the N15 / N17 / N14 group identified earlier — and a check against the chromosome-wide burden table confirms it belongs there: N48 ranks </w:t>
      </w:r>
      <w:r>
        <w:rPr>
          <w:b/>
          <w:i w:val="0"/>
        </w:rPr>
        <w:t>4th of 53</w:t>
      </w:r>
      <w:r>
        <w:rPr>
          <w:b w:val="0"/>
          <w:i w:val="0"/>
        </w:rPr>
        <w:t xml:space="preserve"> on chr22, so this is a fourth high-burden sample rather than a quirk of the window.</w:t>
      </w:r>
    </w:p>
    <w:p>
      <w:pPr>
        <w:jc w:val="center"/>
      </w:pPr>
      <w:r>
        <w:drawing>
          <wp:inline xmlns:a="http://schemas.openxmlformats.org/drawingml/2006/main" xmlns:pic="http://schemas.openxmlformats.org/drawingml/2006/picture">
            <wp:extent cx="5852160" cy="2786743"/>
            <wp:docPr id="1" name="Picture 1"/>
            <wp:cNvGraphicFramePr>
              <a:graphicFrameLocks noChangeAspect="1"/>
            </wp:cNvGraphicFramePr>
            <a:graphic>
              <a:graphicData uri="http://schemas.openxmlformats.org/drawingml/2006/picture">
                <pic:pic>
                  <pic:nvPicPr>
                    <pic:cNvPr id="0" name="Fig9_ContraryConcentration.png"/>
                    <pic:cNvPicPr/>
                  </pic:nvPicPr>
                  <pic:blipFill>
                    <a:blip r:embed="rId9"/>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1.</w:t>
      </w:r>
      <w:r>
        <w:rPr>
          <w:b w:val="0"/>
          <w:i/>
          <w:color w:val="606060"/>
          <w:sz w:val="17"/>
        </w:rPr>
        <w:t xml:space="preserve"> The two halves of the question have opposite answers. </w:t>
      </w:r>
      <w:r>
        <w:rPr>
          <w:b/>
          <w:i w:val="0"/>
          <w:color w:val="606060"/>
          <w:sz w:val="17"/>
        </w:rPr>
        <w:t>Left:</w:t>
      </w:r>
      <w:r>
        <w:rPr>
          <w:b w:val="0"/>
          <w:i/>
          <w:color w:val="606060"/>
          <w:sz w:val="17"/>
        </w:rPr>
        <w:t xml:space="preserve"> flags per site, sites ranked, one line per cell — only sites that carry at least one flag are drawn, and the legend gives how many of the state's sites that is. </w:t>
      </w:r>
      <w:r>
        <w:rPr>
          <w:b/>
          <w:i w:val="0"/>
          <w:color w:val="606060"/>
          <w:sz w:val="17"/>
        </w:rPr>
        <w:t>Right:</w:t>
      </w:r>
      <w:r>
        <w:rPr>
          <w:b w:val="0"/>
          <w:i/>
          <w:color w:val="606060"/>
          <w:sz w:val="17"/>
        </w:rPr>
        <w:t xml:space="preserve"> the same flags counted per sample, all four cells pooled.</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Why those sites, then? Not biology.</w:t>
            </w:r>
          </w:p>
          <w:p>
            <w:pPr>
              <w:spacing w:after="40"/>
            </w:pPr>
            <w:r>
              <w:rPr>
                <w:b w:val="0"/>
                <w:i w:val="0"/>
                <w:sz w:val="19"/>
              </w:rPr>
              <w:t xml:space="preserve">The external threshold knows nothing about this cohort, so the number of samples a site flags is decided by how far that threshold happens to sit from this cohort's own distribution at that site. Recovering the thresholds from the flag matrix and measuring that distance in cohort-MAD units, the correlation with contrary-flag count is </w:t>
            </w:r>
            <w:r>
              <w:rPr>
                <w:b/>
                <w:i w:val="0"/>
                <w:sz w:val="19"/>
              </w:rPr>
              <w:t>negative in all six testable state × tissue cells</w:t>
            </w:r>
            <w:r>
              <w:rPr>
                <w:b w:val="0"/>
                <w:i w:val="0"/>
                <w:sz w:val="19"/>
              </w:rPr>
              <w:t xml:space="preserve"> (Spearman −0.95 to −0.12), at a median distance of only </w:t>
            </w:r>
            <w:r>
              <w:rPr>
                <w:b/>
                <w:i w:val="0"/>
                <w:sz w:val="19"/>
              </w:rPr>
              <w:t>1.0–1.9 MAD</w:t>
            </w:r>
            <w:r>
              <w:rPr>
                <w:b w:val="0"/>
                <w:i w:val="0"/>
                <w:sz w:val="19"/>
              </w:rPr>
              <w:t>.</w:t>
              <w:br/>
              <w:br/>
              <w:t>The concentrating sites are the geometrically unlucky ones. Probe masking will remove some of them, but the pattern will reappear at the next-closest sites, so both numbers should be reported.</w:t>
            </w:r>
          </w:p>
        </w:tc>
      </w:tr>
    </w:tbl>
    <w:p>
      <w:pPr>
        <w:spacing w:after="80"/>
      </w:pPr>
    </w:p>
    <w:p>
      <w:r>
        <w:br w:type="page"/>
      </w:r>
    </w:p>
    <w:p>
      <w:pPr>
        <w:pStyle w:val="Heading1"/>
      </w:pPr>
      <w:r>
        <w:t>2. One threshold per state instead of one per CpG</w:t>
      </w:r>
    </w:p>
    <w:p>
      <w:r>
        <w:rPr>
          <w:b w:val="0"/>
          <w:i w:val="0"/>
        </w:rPr>
        <w:t>The “bio-stat” proposal is a direct answer to a real problem. An empirical percentile over 53 values is an order statistic: at n = 53 the 99th percentile falls between the 52nd and 53rd sorted values, so exactly one sample can exceed it, at every significance level. A percentile over 8 × 53 = 424 cells, or over 117,183 for all the chromosome's L sites, is an actual estimate, and a site can then have zero outliers — which is what most sites should have.</w:t>
      </w:r>
    </w:p>
    <w:p>
      <w:r>
        <w:rPr>
          <w:b/>
          <w:i w:val="0"/>
        </w:rPr>
        <w:t>Two ways to pool, and the difference decides whether it works.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F3864"/>
          </w:tcPr>
          <w:p>
            <w:pPr>
              <w:spacing w:after="20"/>
            </w:pPr>
            <w:r/>
            <w:r>
              <w:rPr>
                <w:b/>
                <w:color w:val="FFFFFF"/>
                <w:sz w:val="18"/>
              </w:rPr>
            </w:r>
          </w:p>
        </w:tc>
        <w:tc>
          <w:tcPr>
            <w:tcW w:type="dxa" w:w="3168"/>
            <w:shd w:fill="1F3864"/>
          </w:tcPr>
          <w:p>
            <w:pPr>
              <w:spacing w:after="20"/>
            </w:pPr>
            <w:r/>
            <w:r>
              <w:rPr>
                <w:b/>
                <w:color w:val="FFFFFF"/>
                <w:sz w:val="18"/>
              </w:rPr>
              <w:t>what is pooled</w:t>
            </w:r>
          </w:p>
        </w:tc>
        <w:tc>
          <w:tcPr>
            <w:tcW w:type="dxa" w:w="4464"/>
            <w:shd w:fill="1F3864"/>
          </w:tcPr>
          <w:p>
            <w:pPr>
              <w:spacing w:after="20"/>
            </w:pPr>
            <w:r/>
            <w:r>
              <w:rPr>
                <w:b/>
                <w:color w:val="FFFFFF"/>
                <w:sz w:val="18"/>
              </w:rPr>
              <w:t>the threshold is</w:t>
            </w:r>
          </w:p>
        </w:tc>
      </w:tr>
      <w:tr>
        <w:tc>
          <w:tcPr>
            <w:tcW w:type="dxa" w:w="1872"/>
          </w:tcPr>
          <w:p>
            <w:pPr>
              <w:spacing w:after="20"/>
            </w:pPr>
            <w:r/>
            <w:r>
              <w:rPr>
                <w:b w:val="0"/>
                <w:sz w:val="18"/>
              </w:rPr>
              <w:t>bio-stat, absolute</w:t>
            </w:r>
          </w:p>
        </w:tc>
        <w:tc>
          <w:tcPr>
            <w:tcW w:type="dxa" w:w="3168"/>
          </w:tcPr>
          <w:p>
            <w:pPr>
              <w:spacing w:after="20"/>
            </w:pPr>
            <w:r/>
            <w:r>
              <w:rPr>
                <w:b w:val="0"/>
                <w:sz w:val="18"/>
              </w:rPr>
              <w:t>raw beta values of the state</w:t>
            </w:r>
          </w:p>
        </w:tc>
        <w:tc>
          <w:tcPr>
            <w:tcW w:type="dxa" w:w="4464"/>
          </w:tcPr>
          <w:p>
            <w:pPr>
              <w:spacing w:after="20"/>
            </w:pPr>
            <w:r/>
            <w:r>
              <w:rPr>
                <w:b w:val="0"/>
                <w:sz w:val="18"/>
              </w:rPr>
              <w:t>one absolute beta value per state — the email's version literally</w:t>
            </w:r>
          </w:p>
        </w:tc>
      </w:tr>
      <w:tr>
        <w:tc>
          <w:tcPr>
            <w:tcW w:type="dxa" w:w="1872"/>
          </w:tcPr>
          <w:p>
            <w:pPr>
              <w:spacing w:after="20"/>
            </w:pPr>
            <w:r/>
            <w:r>
              <w:rPr>
                <w:b w:val="0"/>
                <w:sz w:val="18"/>
              </w:rPr>
              <w:t>bio-stat, deviation</w:t>
            </w:r>
          </w:p>
        </w:tc>
        <w:tc>
          <w:tcPr>
            <w:tcW w:type="dxa" w:w="3168"/>
          </w:tcPr>
          <w:p>
            <w:pPr>
              <w:spacing w:after="20"/>
            </w:pPr>
            <w:r/>
            <w:r>
              <w:rPr>
                <w:b w:val="0"/>
                <w:sz w:val="18"/>
              </w:rPr>
              <w:t>beta minus that site's own cohort median</w:t>
            </w:r>
          </w:p>
        </w:tc>
        <w:tc>
          <w:tcPr>
            <w:tcW w:type="dxa" w:w="4464"/>
          </w:tcPr>
          <w:p>
            <w:pPr>
              <w:spacing w:after="20"/>
            </w:pPr>
            <w:r/>
            <w:r>
              <w:rPr>
                <w:b w:val="0"/>
                <w:sz w:val="18"/>
              </w:rPr>
              <w:t xml:space="preserve">one </w:t>
            </w:r>
            <w:r>
              <w:rPr>
                <w:b/>
                <w:sz w:val="18"/>
              </w:rPr>
              <w:t>effect size</w:t>
            </w:r>
            <w:r>
              <w:rPr>
                <w:b w:val="0"/>
                <w:sz w:val="18"/>
              </w:rPr>
              <w:t xml:space="preserve"> per state, re-centred at each site</w:t>
            </w:r>
          </w:p>
        </w:tc>
      </w:tr>
    </w:tbl>
    <w:p>
      <w:pPr>
        <w:spacing w:after="60"/>
      </w:pPr>
    </w:p>
    <w:p>
      <w:r>
        <w:rPr>
          <w:b w:val="0"/>
          <w:i w:val="0"/>
        </w:rPr>
        <w:t xml:space="preserve">States are wide — L spans beta 0.005 to 0.10 — so under the absolute rule the top of the pooled tail is dominated by whichever </w:t>
      </w:r>
      <w:r>
        <w:rPr>
          <w:b/>
          <w:i w:val="0"/>
        </w:rPr>
        <w:t>sites</w:t>
      </w:r>
      <w:r>
        <w:rPr>
          <w:b w:val="0"/>
          <w:i w:val="0"/>
        </w:rPr>
        <w:t xml:space="preserve"> sit highest within the state. It ends up flagging whole sites rather than unusual samples. The deviation version removes each site's own level first and asks the intended question. At the same 4% flag rate on tumour R sites the two give a median beta shift of </w:t>
      </w:r>
      <w:r>
        <w:rPr>
          <w:b/>
          <w:i w:val="0"/>
        </w:rPr>
        <w:t>0.016</w:t>
      </w:r>
      <w:r>
        <w:rPr>
          <w:b w:val="0"/>
          <w:i w:val="0"/>
        </w:rPr>
        <w:t xml:space="preserve"> and </w:t>
      </w:r>
      <w:r>
        <w:rPr>
          <w:b/>
          <w:i w:val="0"/>
        </w:rPr>
        <w:t>0.465</w:t>
      </w:r>
      <w:r>
        <w:rPr>
          <w:b w:val="0"/>
          <w:i w:val="0"/>
        </w:rPr>
        <w:t xml:space="preserve"> respectively, on the same cells.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1F3864"/>
          </w:tcPr>
          <w:p>
            <w:pPr>
              <w:spacing w:after="20"/>
            </w:pPr>
            <w:r/>
            <w:r>
              <w:rPr>
                <w:b/>
                <w:color w:val="FFFFFF"/>
                <w:sz w:val="18"/>
              </w:rPr>
              <w:t>tissue</w:t>
            </w:r>
          </w:p>
        </w:tc>
        <w:tc>
          <w:tcPr>
            <w:tcW w:type="dxa" w:w="1296"/>
            <w:shd w:fill="1F3864"/>
          </w:tcPr>
          <w:p>
            <w:pPr>
              <w:spacing w:after="20"/>
            </w:pPr>
            <w:r/>
            <w:r>
              <w:rPr>
                <w:b/>
                <w:color w:val="FFFFFF"/>
                <w:sz w:val="18"/>
              </w:rPr>
              <w:t>variant</w:t>
            </w:r>
          </w:p>
        </w:tc>
        <w:tc>
          <w:tcPr>
            <w:tcW w:type="dxa" w:w="1584"/>
            <w:shd w:fill="1F3864"/>
          </w:tcPr>
          <w:p>
            <w:pPr>
              <w:spacing w:after="20"/>
            </w:pPr>
            <w:r/>
            <w:r>
              <w:rPr>
                <w:b/>
                <w:color w:val="FFFFFF"/>
                <w:sz w:val="18"/>
              </w:rPr>
              <w:t>sites carrying a flag</w:t>
            </w:r>
          </w:p>
        </w:tc>
        <w:tc>
          <w:tcPr>
            <w:tcW w:type="dxa" w:w="1440"/>
            <w:shd w:fill="1F3864"/>
          </w:tcPr>
          <w:p>
            <w:pPr>
              <w:spacing w:after="20"/>
            </w:pPr>
            <w:r/>
            <w:r>
              <w:rPr>
                <w:b/>
                <w:color w:val="FFFFFF"/>
                <w:sz w:val="18"/>
              </w:rPr>
              <w:t>median beta shift</w:t>
            </w:r>
          </w:p>
        </w:tc>
        <w:tc>
          <w:tcPr>
            <w:tcW w:type="dxa" w:w="1152"/>
            <w:shd w:fill="1F3864"/>
          </w:tcPr>
          <w:p>
            <w:pPr>
              <w:spacing w:after="20"/>
            </w:pPr>
            <w:r/>
            <w:r>
              <w:rPr>
                <w:b/>
                <w:color w:val="FFFFFF"/>
                <w:sz w:val="18"/>
              </w:rPr>
              <w:t>under 0.10</w:t>
            </w:r>
          </w:p>
        </w:tc>
        <w:tc>
          <w:tcPr>
            <w:tcW w:type="dxa" w:w="1152"/>
            <w:shd w:fill="1F3864"/>
          </w:tcPr>
          <w:p>
            <w:pPr>
              <w:spacing w:after="20"/>
            </w:pPr>
            <w:r/>
            <w:r>
              <w:rPr>
                <w:b/>
                <w:color w:val="FFFFFF"/>
                <w:sz w:val="18"/>
              </w:rPr>
              <w:t>stability</w:t>
            </w:r>
          </w:p>
        </w:tc>
        <w:tc>
          <w:tcPr>
            <w:tcW w:type="dxa" w:w="1440"/>
            <w:shd w:fill="1F3864"/>
          </w:tcPr>
          <w:p>
            <w:pPr>
              <w:spacing w:after="20"/>
            </w:pPr>
            <w:r/>
            <w:r>
              <w:rPr>
                <w:b/>
                <w:color w:val="FFFFFF"/>
                <w:sz w:val="18"/>
              </w:rPr>
              <w:t>state-rate ratio</w:t>
            </w:r>
          </w:p>
        </w:tc>
      </w:tr>
      <w:tr>
        <w:tc>
          <w:tcPr>
            <w:tcW w:type="dxa" w:w="1008"/>
          </w:tcPr>
          <w:p>
            <w:pPr>
              <w:spacing w:after="20"/>
            </w:pPr>
            <w:r/>
            <w:r>
              <w:rPr>
                <w:b w:val="0"/>
                <w:sz w:val="18"/>
              </w:rPr>
              <w:t>Normal</w:t>
            </w:r>
          </w:p>
        </w:tc>
        <w:tc>
          <w:tcPr>
            <w:tcW w:type="dxa" w:w="1296"/>
          </w:tcPr>
          <w:p>
            <w:pPr>
              <w:spacing w:after="20"/>
            </w:pPr>
            <w:r/>
            <w:r>
              <w:rPr>
                <w:b w:val="0"/>
                <w:sz w:val="18"/>
              </w:rPr>
              <w:t>absolute</w:t>
            </w:r>
          </w:p>
        </w:tc>
        <w:tc>
          <w:tcPr>
            <w:tcW w:type="dxa" w:w="1584"/>
          </w:tcPr>
          <w:p>
            <w:pPr>
              <w:spacing w:after="20"/>
            </w:pPr>
            <w:r/>
            <w:r>
              <w:rPr>
                <w:b w:val="0"/>
                <w:sz w:val="18"/>
              </w:rPr>
              <w:t>40.9%</w:t>
            </w:r>
          </w:p>
        </w:tc>
        <w:tc>
          <w:tcPr>
            <w:tcW w:type="dxa" w:w="1440"/>
          </w:tcPr>
          <w:p>
            <w:pPr>
              <w:spacing w:after="20"/>
            </w:pPr>
            <w:r/>
            <w:r>
              <w:rPr>
                <w:b w:val="0"/>
                <w:sz w:val="18"/>
              </w:rPr>
              <w:t>0.079</w:t>
            </w:r>
          </w:p>
        </w:tc>
        <w:tc>
          <w:tcPr>
            <w:tcW w:type="dxa" w:w="1152"/>
          </w:tcPr>
          <w:p>
            <w:pPr>
              <w:spacing w:after="20"/>
            </w:pPr>
            <w:r/>
            <w:r>
              <w:rPr>
                <w:b w:val="0"/>
                <w:sz w:val="18"/>
              </w:rPr>
              <w:t>63.9%</w:t>
            </w:r>
          </w:p>
        </w:tc>
        <w:tc>
          <w:tcPr>
            <w:tcW w:type="dxa" w:w="1152"/>
          </w:tcPr>
          <w:p>
            <w:pPr>
              <w:spacing w:after="20"/>
            </w:pPr>
            <w:r/>
            <w:r>
              <w:rPr>
                <w:b w:val="0"/>
                <w:sz w:val="18"/>
              </w:rPr>
              <w:t>0.823</w:t>
            </w:r>
          </w:p>
        </w:tc>
        <w:tc>
          <w:tcPr>
            <w:tcW w:type="dxa" w:w="1440"/>
          </w:tcPr>
          <w:p>
            <w:pPr>
              <w:spacing w:after="20"/>
            </w:pPr>
            <w:r/>
            <w:r>
              <w:rPr>
                <w:b w:val="0"/>
                <w:sz w:val="18"/>
              </w:rPr>
              <w:t>1.00</w:t>
            </w:r>
          </w:p>
        </w:tc>
      </w:tr>
      <w:tr>
        <w:tc>
          <w:tcPr>
            <w:tcW w:type="dxa" w:w="1008"/>
            <w:shd w:fill="FFF2CC"/>
          </w:tcPr>
          <w:p>
            <w:pPr>
              <w:spacing w:after="20"/>
            </w:pPr>
            <w:r/>
            <w:r>
              <w:rPr>
                <w:b w:val="0"/>
                <w:sz w:val="18"/>
              </w:rPr>
              <w:t>Normal</w:t>
            </w:r>
          </w:p>
        </w:tc>
        <w:tc>
          <w:tcPr>
            <w:tcW w:type="dxa" w:w="1296"/>
            <w:shd w:fill="FFF2CC"/>
          </w:tcPr>
          <w:p>
            <w:pPr>
              <w:spacing w:after="20"/>
            </w:pPr>
            <w:r/>
            <w:r>
              <w:rPr>
                <w:b/>
                <w:sz w:val="18"/>
              </w:rPr>
              <w:t>deviation</w:t>
            </w:r>
          </w:p>
        </w:tc>
        <w:tc>
          <w:tcPr>
            <w:tcW w:type="dxa" w:w="1584"/>
            <w:shd w:fill="FFF2CC"/>
          </w:tcPr>
          <w:p>
            <w:pPr>
              <w:spacing w:after="20"/>
            </w:pPr>
            <w:r/>
            <w:r>
              <w:rPr>
                <w:b/>
                <w:sz w:val="18"/>
              </w:rPr>
              <w:t>63.5%</w:t>
            </w:r>
          </w:p>
        </w:tc>
        <w:tc>
          <w:tcPr>
            <w:tcW w:type="dxa" w:w="1440"/>
            <w:shd w:fill="FFF2CC"/>
          </w:tcPr>
          <w:p>
            <w:pPr>
              <w:spacing w:after="20"/>
            </w:pPr>
            <w:r/>
            <w:r>
              <w:rPr>
                <w:b/>
                <w:sz w:val="18"/>
              </w:rPr>
              <w:t>0.137</w:t>
            </w:r>
          </w:p>
        </w:tc>
        <w:tc>
          <w:tcPr>
            <w:tcW w:type="dxa" w:w="1152"/>
            <w:shd w:fill="FFF2CC"/>
          </w:tcPr>
          <w:p>
            <w:pPr>
              <w:spacing w:after="20"/>
            </w:pPr>
            <w:r/>
            <w:r>
              <w:rPr>
                <w:b/>
                <w:sz w:val="18"/>
              </w:rPr>
              <w:t>38.6%</w:t>
            </w:r>
          </w:p>
        </w:tc>
        <w:tc>
          <w:tcPr>
            <w:tcW w:type="dxa" w:w="1152"/>
            <w:shd w:fill="FFF2CC"/>
          </w:tcPr>
          <w:p>
            <w:pPr>
              <w:spacing w:after="20"/>
            </w:pPr>
            <w:r/>
            <w:r>
              <w:rPr>
                <w:b w:val="0"/>
                <w:sz w:val="18"/>
              </w:rPr>
              <w:t>0.804</w:t>
            </w:r>
          </w:p>
        </w:tc>
        <w:tc>
          <w:tcPr>
            <w:tcW w:type="dxa" w:w="1440"/>
            <w:shd w:fill="FFF2CC"/>
          </w:tcPr>
          <w:p>
            <w:pPr>
              <w:spacing w:after="20"/>
            </w:pPr>
            <w:r/>
            <w:r>
              <w:rPr>
                <w:b w:val="0"/>
                <w:sz w:val="18"/>
              </w:rPr>
              <w:t>1.00</w:t>
            </w:r>
          </w:p>
        </w:tc>
      </w:tr>
      <w:tr>
        <w:tc>
          <w:tcPr>
            <w:tcW w:type="dxa" w:w="1008"/>
          </w:tcPr>
          <w:p>
            <w:pPr>
              <w:spacing w:after="20"/>
            </w:pPr>
            <w:r/>
            <w:r>
              <w:rPr>
                <w:b w:val="0"/>
                <w:sz w:val="18"/>
              </w:rPr>
              <w:t>Tumour</w:t>
            </w:r>
          </w:p>
        </w:tc>
        <w:tc>
          <w:tcPr>
            <w:tcW w:type="dxa" w:w="1296"/>
          </w:tcPr>
          <w:p>
            <w:pPr>
              <w:spacing w:after="20"/>
            </w:pPr>
            <w:r/>
            <w:r>
              <w:rPr>
                <w:b w:val="0"/>
                <w:sz w:val="18"/>
              </w:rPr>
              <w:t>absolute</w:t>
            </w:r>
          </w:p>
        </w:tc>
        <w:tc>
          <w:tcPr>
            <w:tcW w:type="dxa" w:w="1584"/>
          </w:tcPr>
          <w:p>
            <w:pPr>
              <w:spacing w:after="20"/>
            </w:pPr>
            <w:r/>
            <w:r>
              <w:rPr>
                <w:b w:val="0"/>
                <w:sz w:val="18"/>
              </w:rPr>
              <w:t>41.7%</w:t>
            </w:r>
          </w:p>
        </w:tc>
        <w:tc>
          <w:tcPr>
            <w:tcW w:type="dxa" w:w="1440"/>
          </w:tcPr>
          <w:p>
            <w:pPr>
              <w:spacing w:after="20"/>
            </w:pPr>
            <w:r/>
            <w:r>
              <w:rPr>
                <w:b w:val="0"/>
                <w:sz w:val="18"/>
              </w:rPr>
              <w:t>0.078</w:t>
            </w:r>
          </w:p>
        </w:tc>
        <w:tc>
          <w:tcPr>
            <w:tcW w:type="dxa" w:w="1152"/>
          </w:tcPr>
          <w:p>
            <w:pPr>
              <w:spacing w:after="20"/>
            </w:pPr>
            <w:r/>
            <w:r>
              <w:rPr>
                <w:b w:val="0"/>
                <w:sz w:val="18"/>
              </w:rPr>
              <w:t>60.4%</w:t>
            </w:r>
          </w:p>
        </w:tc>
        <w:tc>
          <w:tcPr>
            <w:tcW w:type="dxa" w:w="1152"/>
          </w:tcPr>
          <w:p>
            <w:pPr>
              <w:spacing w:after="20"/>
            </w:pPr>
            <w:r/>
            <w:r>
              <w:rPr>
                <w:b w:val="0"/>
                <w:sz w:val="18"/>
              </w:rPr>
              <w:t>0.779</w:t>
            </w:r>
          </w:p>
        </w:tc>
        <w:tc>
          <w:tcPr>
            <w:tcW w:type="dxa" w:w="1440"/>
          </w:tcPr>
          <w:p>
            <w:pPr>
              <w:spacing w:after="20"/>
            </w:pPr>
            <w:r/>
            <w:r>
              <w:rPr>
                <w:b w:val="0"/>
                <w:sz w:val="18"/>
              </w:rPr>
              <w:t>1.00</w:t>
            </w:r>
          </w:p>
        </w:tc>
      </w:tr>
      <w:tr>
        <w:tc>
          <w:tcPr>
            <w:tcW w:type="dxa" w:w="1008"/>
            <w:shd w:fill="FFF2CC"/>
          </w:tcPr>
          <w:p>
            <w:pPr>
              <w:spacing w:after="20"/>
            </w:pPr>
            <w:r/>
            <w:r>
              <w:rPr>
                <w:b w:val="0"/>
                <w:sz w:val="18"/>
              </w:rPr>
              <w:t>Tumour</w:t>
            </w:r>
          </w:p>
        </w:tc>
        <w:tc>
          <w:tcPr>
            <w:tcW w:type="dxa" w:w="1296"/>
            <w:shd w:fill="FFF2CC"/>
          </w:tcPr>
          <w:p>
            <w:pPr>
              <w:spacing w:after="20"/>
            </w:pPr>
            <w:r/>
            <w:r>
              <w:rPr>
                <w:b/>
                <w:sz w:val="18"/>
              </w:rPr>
              <w:t>deviation</w:t>
            </w:r>
          </w:p>
        </w:tc>
        <w:tc>
          <w:tcPr>
            <w:tcW w:type="dxa" w:w="1584"/>
            <w:shd w:fill="FFF2CC"/>
          </w:tcPr>
          <w:p>
            <w:pPr>
              <w:spacing w:after="20"/>
            </w:pPr>
            <w:r/>
            <w:r>
              <w:rPr>
                <w:b/>
                <w:sz w:val="18"/>
              </w:rPr>
              <w:t>63.5%</w:t>
            </w:r>
          </w:p>
        </w:tc>
        <w:tc>
          <w:tcPr>
            <w:tcW w:type="dxa" w:w="1440"/>
            <w:shd w:fill="FFF2CC"/>
          </w:tcPr>
          <w:p>
            <w:pPr>
              <w:spacing w:after="20"/>
            </w:pPr>
            <w:r/>
            <w:r>
              <w:rPr>
                <w:b/>
                <w:sz w:val="18"/>
              </w:rPr>
              <w:t>0.242</w:t>
            </w:r>
          </w:p>
        </w:tc>
        <w:tc>
          <w:tcPr>
            <w:tcW w:type="dxa" w:w="1152"/>
            <w:shd w:fill="FFF2CC"/>
          </w:tcPr>
          <w:p>
            <w:pPr>
              <w:spacing w:after="20"/>
            </w:pPr>
            <w:r/>
            <w:r>
              <w:rPr>
                <w:b/>
                <w:sz w:val="18"/>
              </w:rPr>
              <w:t>30.2%</w:t>
            </w:r>
          </w:p>
        </w:tc>
        <w:tc>
          <w:tcPr>
            <w:tcW w:type="dxa" w:w="1152"/>
            <w:shd w:fill="FFF2CC"/>
          </w:tcPr>
          <w:p>
            <w:pPr>
              <w:spacing w:after="20"/>
            </w:pPr>
            <w:r/>
            <w:r>
              <w:rPr>
                <w:b/>
                <w:sz w:val="18"/>
              </w:rPr>
              <w:t>0.865</w:t>
            </w:r>
          </w:p>
        </w:tc>
        <w:tc>
          <w:tcPr>
            <w:tcW w:type="dxa" w:w="1440"/>
            <w:shd w:fill="FFF2CC"/>
          </w:tcPr>
          <w:p>
            <w:pPr>
              <w:spacing w:after="20"/>
            </w:pPr>
            <w:r/>
            <w:r>
              <w:rPr>
                <w:b w:val="0"/>
                <w:sz w:val="18"/>
              </w:rPr>
              <w:t>1.00</w:t>
            </w:r>
          </w:p>
        </w:tc>
      </w:tr>
    </w:tbl>
    <w:p>
      <w:pPr>
        <w:spacing w:after="60"/>
      </w:pPr>
    </w:p>
    <w:p>
      <w:pPr>
        <w:spacing w:after="220"/>
      </w:pPr>
      <w:r>
        <w:rPr>
          <w:i/>
          <w:color w:val="606060"/>
          <w:sz w:val="16"/>
        </w:rPr>
        <w:t>chr22, q = 0.96 · Results/Task30_StatePooled_Scores.csv · Scripts/Task30.StatePooledThreshold.Sep03.2026.R</w:t>
      </w:r>
    </w:p>
    <w:p>
      <w:r>
        <w:rPr>
          <w:b/>
          <w:i w:val="0"/>
        </w:rPr>
        <w:t>One practical warning.</w:t>
      </w:r>
      <w:r>
        <w:rPr>
          <w:b w:val="0"/>
          <w:i w:val="0"/>
        </w:rPr>
        <w:t xml:space="preserve"> The threshold estimated from the window's 424 L cells is 0.084; from all 117,183 chr22 L cells it is 0.102 — 18% higher. The small pool biases it low. Use the chromosome, not the window.</w:t>
      </w:r>
    </w:p>
    <w:p>
      <w:r>
        <w:rPr>
          <w:b/>
          <w:i w:val="0"/>
        </w:rPr>
        <w:t>What it fixes and what it does not.</w:t>
      </w:r>
      <w:r>
        <w:rPr>
          <w:b w:val="0"/>
          <w:i w:val="0"/>
        </w:rPr>
        <w:t xml:space="preserve"> It fixes the state-rate bias completely — every state gets exactly 1 − q of its cells flagged by construction — and it fixes the degeneracy. It does </w:t>
      </w:r>
      <w:r>
        <w:rPr>
          <w:b/>
          <w:i w:val="0"/>
        </w:rPr>
        <w:t>not</w:t>
      </w:r>
      <w:r>
        <w:rPr>
          <w:b w:val="0"/>
          <w:i w:val="0"/>
        </w:rPr>
        <w:t xml:space="preserve"> fix the magnitude problem, because the 96th percentile of the L and H states' own deviations is only 0.037 and 0.046. A state-pooled percentile is still a percentile.</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The number the email asked about: is 0.05 the right floor?</w:t>
            </w:r>
          </w:p>
          <w:p>
            <w:pPr>
              <w:spacing w:after="40"/>
            </w:pPr>
            <w:r>
              <w:rPr>
                <w:b w:val="0"/>
                <w:i w:val="0"/>
                <w:sz w:val="19"/>
              </w:rPr>
              <w:t xml:space="preserve">The per-state thresholds above are exactly a data-calibrated version of the proposed |beta − median| &gt; 0.05 rule. Read off each state's own deviation distribution at the 96th percentile (chr22, normal): </w:t>
            </w:r>
            <w:r>
              <w:rPr>
                <w:b/>
                <w:i w:val="0"/>
                <w:sz w:val="19"/>
              </w:rPr>
              <w:t>L 0.037, LM 0.142, M 0.144 / 0.179, HM 0.125, H 0.046, R 0.306 / 0.341</w:t>
            </w:r>
            <w:r>
              <w:rPr>
                <w:b w:val="0"/>
                <w:i w:val="0"/>
                <w:sz w:val="19"/>
              </w:rPr>
              <w:t>.</w:t>
              <w:br/>
              <w:br/>
              <w:t xml:space="preserve">So </w:t>
            </w:r>
            <w:r>
              <w:rPr>
                <w:b/>
                <w:i w:val="0"/>
                <w:sz w:val="19"/>
              </w:rPr>
              <w:t>0.05 is about right at L and H, and three to seven times too lenient everywhere else.</w:t>
            </w:r>
            <w:r>
              <w:rPr>
                <w:b w:val="0"/>
                <w:i w:val="0"/>
                <w:sz w:val="19"/>
              </w:rPr>
              <w:t xml:space="preserve"> No single constant can be right at every state — but §5 shows that a flat 0.10 still beats the per-state version in practice.</w:t>
            </w:r>
          </w:p>
        </w:tc>
      </w:tr>
    </w:tbl>
    <w:p>
      <w:pPr>
        <w:spacing w:after="80"/>
      </w:pPr>
    </w:p>
    <w:p>
      <w:pPr>
        <w:jc w:val="center"/>
      </w:pPr>
      <w:r>
        <w:drawing>
          <wp:inline xmlns:a="http://schemas.openxmlformats.org/drawingml/2006/main" xmlns:pic="http://schemas.openxmlformats.org/drawingml/2006/picture">
            <wp:extent cx="5852160" cy="2786743"/>
            <wp:docPr id="2" name="Picture 2"/>
            <wp:cNvGraphicFramePr>
              <a:graphicFrameLocks noChangeAspect="1"/>
            </wp:cNvGraphicFramePr>
            <a:graphic>
              <a:graphicData uri="http://schemas.openxmlformats.org/drawingml/2006/picture">
                <pic:pic>
                  <pic:nvPicPr>
                    <pic:cNvPr id="0" name="Fig11_StateFloors.png"/>
                    <pic:cNvPicPr/>
                  </pic:nvPicPr>
                  <pic:blipFill>
                    <a:blip r:embed="rId10"/>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2.</w:t>
      </w:r>
      <w:r>
        <w:rPr>
          <w:b w:val="0"/>
          <w:i/>
          <w:color w:val="606060"/>
          <w:sz w:val="17"/>
        </w:rPr>
        <w:t xml:space="preserve"> The floor each state's own data picks, against the three constants under discussion. Each state gets one bar per tail it has a rule for. The R state needs six to eight times the floor that L and H need.</w:t>
      </w:r>
    </w:p>
    <w:p>
      <w:r>
        <w:br w:type="page"/>
      </w:r>
    </w:p>
    <w:p>
      <w:pPr>
        <w:pStyle w:val="Heading1"/>
      </w:pPr>
      <w:r>
        <w:t>3. Can the parameters be adjusted?</w:t>
      </w:r>
    </w:p>
    <w:p>
      <w:r>
        <w:rPr>
          <w:b w:val="0"/>
          <w:i w:val="0"/>
        </w:rPr>
        <w:t xml:space="preserve">OutlierMeth has exactly two settings: </w:t>
      </w:r>
      <w:r>
        <w:rPr>
          <w:b/>
          <w:i w:val="0"/>
        </w:rPr>
        <w:t>reference</w:t>
      </w:r>
      <w:r>
        <w:rPr>
          <w:b w:val="0"/>
          <w:i w:val="0"/>
        </w:rPr>
        <w:t xml:space="preserve">, one of four packaged panels, and </w:t>
      </w:r>
      <w:r>
        <w:rPr>
          <w:b/>
          <w:i w:val="0"/>
        </w:rPr>
        <w:t>p</w:t>
      </w:r>
      <w:r>
        <w:rPr>
          <w:b w:val="0"/>
          <w:i w:val="0"/>
        </w:rPr>
        <w:t>, one of four significance levels. The answer is no, on two independent grounds, and neither needed the reference file itself — which is not available on this machine.</w:t>
      </w:r>
    </w:p>
    <w:p>
      <w:pPr>
        <w:pStyle w:val="Heading2"/>
      </w:pPr>
      <w:r>
        <w:t>3.1  The p setting has less resolution than it appears</w:t>
      </w:r>
    </w:p>
    <w:p>
      <w:r>
        <w:rPr>
          <w:b w:val="0"/>
          <w:i w:val="0"/>
        </w:rPr>
        <w:t>The package builds every threshold with R's ordinary quantile function. A quantile at level p is a real estimate of a tail only when the reference has roughly 1/p samples or more. The reference here has 747:</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008"/>
            <w:shd w:fill="1F3864"/>
          </w:tcPr>
          <w:p>
            <w:pPr>
              <w:spacing w:after="20"/>
            </w:pPr>
            <w:r/>
            <w:r>
              <w:rPr>
                <w:b/>
                <w:color w:val="FFFFFF"/>
                <w:sz w:val="18"/>
              </w:rPr>
              <w:t>p</w:t>
            </w:r>
          </w:p>
        </w:tc>
        <w:tc>
          <w:tcPr>
            <w:tcW w:type="dxa" w:w="2304"/>
            <w:shd w:fill="1F3864"/>
          </w:tcPr>
          <w:p>
            <w:pPr>
              <w:spacing w:after="20"/>
            </w:pPr>
            <w:r/>
            <w:r>
              <w:rPr>
                <w:b/>
                <w:color w:val="FFFFFF"/>
                <w:sz w:val="18"/>
              </w:rPr>
              <w:t>position in the sorted 747</w:t>
            </w:r>
          </w:p>
        </w:tc>
        <w:tc>
          <w:tcPr>
            <w:tcW w:type="dxa" w:w="1728"/>
            <w:shd w:fill="1F3864"/>
          </w:tcPr>
          <w:p>
            <w:pPr>
              <w:spacing w:after="20"/>
            </w:pPr>
            <w:r/>
            <w:r>
              <w:rPr>
                <w:b/>
                <w:color w:val="FFFFFF"/>
                <w:sz w:val="18"/>
              </w:rPr>
              <w:t>rank from the top</w:t>
            </w:r>
          </w:p>
        </w:tc>
        <w:tc>
          <w:tcPr>
            <w:tcW w:type="dxa" w:w="2448"/>
            <w:shd w:fill="1F3864"/>
          </w:tcPr>
          <w:p>
            <w:pPr>
              <w:spacing w:after="20"/>
            </w:pPr>
            <w:r/>
            <w:r>
              <w:rPr>
                <w:b/>
                <w:color w:val="FFFFFF"/>
                <w:sz w:val="18"/>
              </w:rPr>
              <w:t>reference samples expected above</w:t>
            </w:r>
          </w:p>
        </w:tc>
        <w:tc>
          <w:tcPr>
            <w:tcW w:type="dxa" w:w="1872"/>
            <w:shd w:fill="1F3864"/>
          </w:tcPr>
          <w:p>
            <w:pPr>
              <w:spacing w:after="20"/>
            </w:pPr>
            <w:r/>
            <w:r>
              <w:rPr>
                <w:b/>
                <w:color w:val="FFFFFF"/>
                <w:sz w:val="18"/>
              </w:rPr>
              <w:t>a real tail estimate?</w:t>
            </w:r>
          </w:p>
        </w:tc>
      </w:tr>
      <w:tr>
        <w:tc>
          <w:tcPr>
            <w:tcW w:type="dxa" w:w="1008"/>
          </w:tcPr>
          <w:p>
            <w:pPr>
              <w:spacing w:after="20"/>
            </w:pPr>
            <w:r/>
            <w:r>
              <w:rPr>
                <w:b w:val="0"/>
                <w:sz w:val="18"/>
              </w:rPr>
              <w:t>0.01</w:t>
            </w:r>
          </w:p>
        </w:tc>
        <w:tc>
          <w:tcPr>
            <w:tcW w:type="dxa" w:w="2304"/>
          </w:tcPr>
          <w:p>
            <w:pPr>
              <w:spacing w:after="20"/>
            </w:pPr>
            <w:r/>
            <w:r>
              <w:rPr>
                <w:b w:val="0"/>
                <w:sz w:val="18"/>
              </w:rPr>
              <w:t>739.54</w:t>
            </w:r>
          </w:p>
        </w:tc>
        <w:tc>
          <w:tcPr>
            <w:tcW w:type="dxa" w:w="1728"/>
          </w:tcPr>
          <w:p>
            <w:pPr>
              <w:spacing w:after="20"/>
            </w:pPr>
            <w:r/>
            <w:r>
              <w:rPr>
                <w:b/>
                <w:sz w:val="18"/>
              </w:rPr>
              <w:t>8th</w:t>
            </w:r>
          </w:p>
        </w:tc>
        <w:tc>
          <w:tcPr>
            <w:tcW w:type="dxa" w:w="2448"/>
          </w:tcPr>
          <w:p>
            <w:pPr>
              <w:spacing w:after="20"/>
            </w:pPr>
            <w:r/>
            <w:r>
              <w:rPr>
                <w:b w:val="0"/>
                <w:sz w:val="18"/>
              </w:rPr>
              <w:t>7.47</w:t>
            </w:r>
          </w:p>
        </w:tc>
        <w:tc>
          <w:tcPr>
            <w:tcW w:type="dxa" w:w="1872"/>
          </w:tcPr>
          <w:p>
            <w:pPr>
              <w:spacing w:after="20"/>
            </w:pPr>
            <w:r/>
            <w:r>
              <w:rPr>
                <w:b w:val="0"/>
                <w:sz w:val="18"/>
              </w:rPr>
              <w:t>yes</w:t>
            </w:r>
          </w:p>
        </w:tc>
      </w:tr>
      <w:tr>
        <w:tc>
          <w:tcPr>
            <w:tcW w:type="dxa" w:w="1008"/>
            <w:shd w:fill="FFF2CC"/>
          </w:tcPr>
          <w:p>
            <w:pPr>
              <w:spacing w:after="20"/>
            </w:pPr>
            <w:r/>
            <w:r>
              <w:rPr>
                <w:b w:val="0"/>
                <w:sz w:val="18"/>
              </w:rPr>
              <w:t>0.001</w:t>
            </w:r>
          </w:p>
        </w:tc>
        <w:tc>
          <w:tcPr>
            <w:tcW w:type="dxa" w:w="2304"/>
            <w:shd w:fill="FFF2CC"/>
          </w:tcPr>
          <w:p>
            <w:pPr>
              <w:spacing w:after="20"/>
            </w:pPr>
            <w:r/>
            <w:r>
              <w:rPr>
                <w:b w:val="0"/>
                <w:sz w:val="18"/>
              </w:rPr>
              <w:t>746.254</w:t>
            </w:r>
          </w:p>
        </w:tc>
        <w:tc>
          <w:tcPr>
            <w:tcW w:type="dxa" w:w="1728"/>
            <w:shd w:fill="FFF2CC"/>
          </w:tcPr>
          <w:p>
            <w:pPr>
              <w:spacing w:after="20"/>
            </w:pPr>
            <w:r/>
            <w:r>
              <w:rPr>
                <w:b/>
                <w:sz w:val="18"/>
              </w:rPr>
              <w:t>1st–2nd</w:t>
            </w:r>
          </w:p>
        </w:tc>
        <w:tc>
          <w:tcPr>
            <w:tcW w:type="dxa" w:w="2448"/>
            <w:shd w:fill="FFF2CC"/>
          </w:tcPr>
          <w:p>
            <w:pPr>
              <w:spacing w:after="20"/>
            </w:pPr>
            <w:r/>
            <w:r>
              <w:rPr>
                <w:b w:val="0"/>
                <w:sz w:val="18"/>
              </w:rPr>
              <w:t>0.747</w:t>
            </w:r>
          </w:p>
        </w:tc>
        <w:tc>
          <w:tcPr>
            <w:tcW w:type="dxa" w:w="1872"/>
            <w:shd w:fill="FFF2CC"/>
          </w:tcPr>
          <w:p>
            <w:pPr>
              <w:spacing w:after="20"/>
            </w:pPr>
            <w:r/>
            <w:r>
              <w:rPr>
                <w:b/>
                <w:sz w:val="18"/>
              </w:rPr>
              <w:t>no</w:t>
            </w:r>
          </w:p>
        </w:tc>
      </w:tr>
      <w:tr>
        <w:tc>
          <w:tcPr>
            <w:tcW w:type="dxa" w:w="1008"/>
            <w:shd w:fill="FFF2CC"/>
          </w:tcPr>
          <w:p>
            <w:pPr>
              <w:spacing w:after="20"/>
            </w:pPr>
            <w:r/>
            <w:r>
              <w:rPr>
                <w:b w:val="0"/>
                <w:sz w:val="18"/>
              </w:rPr>
              <w:t>0.0001</w:t>
            </w:r>
          </w:p>
        </w:tc>
        <w:tc>
          <w:tcPr>
            <w:tcW w:type="dxa" w:w="2304"/>
            <w:shd w:fill="FFF2CC"/>
          </w:tcPr>
          <w:p>
            <w:pPr>
              <w:spacing w:after="20"/>
            </w:pPr>
            <w:r/>
            <w:r>
              <w:rPr>
                <w:b w:val="0"/>
                <w:sz w:val="18"/>
              </w:rPr>
              <w:t>746.925</w:t>
            </w:r>
          </w:p>
        </w:tc>
        <w:tc>
          <w:tcPr>
            <w:tcW w:type="dxa" w:w="1728"/>
            <w:shd w:fill="FFF2CC"/>
          </w:tcPr>
          <w:p>
            <w:pPr>
              <w:spacing w:after="20"/>
            </w:pPr>
            <w:r/>
            <w:r>
              <w:rPr>
                <w:b/>
                <w:sz w:val="18"/>
              </w:rPr>
              <w:t>1st–2nd</w:t>
            </w:r>
          </w:p>
        </w:tc>
        <w:tc>
          <w:tcPr>
            <w:tcW w:type="dxa" w:w="2448"/>
            <w:shd w:fill="FFF2CC"/>
          </w:tcPr>
          <w:p>
            <w:pPr>
              <w:spacing w:after="20"/>
            </w:pPr>
            <w:r/>
            <w:r>
              <w:rPr>
                <w:b w:val="0"/>
                <w:sz w:val="18"/>
              </w:rPr>
              <w:t>0.075</w:t>
            </w:r>
          </w:p>
        </w:tc>
        <w:tc>
          <w:tcPr>
            <w:tcW w:type="dxa" w:w="1872"/>
            <w:shd w:fill="FFF2CC"/>
          </w:tcPr>
          <w:p>
            <w:pPr>
              <w:spacing w:after="20"/>
            </w:pPr>
            <w:r/>
            <w:r>
              <w:rPr>
                <w:b/>
                <w:sz w:val="18"/>
              </w:rPr>
              <w:t>no</w:t>
            </w:r>
          </w:p>
        </w:tc>
      </w:tr>
      <w:tr>
        <w:tc>
          <w:tcPr>
            <w:tcW w:type="dxa" w:w="1008"/>
            <w:shd w:fill="FFF2CC"/>
          </w:tcPr>
          <w:p>
            <w:pPr>
              <w:spacing w:after="20"/>
            </w:pPr>
            <w:r/>
            <w:r>
              <w:rPr>
                <w:b w:val="0"/>
                <w:sz w:val="18"/>
              </w:rPr>
              <w:t>0.00001</w:t>
            </w:r>
          </w:p>
        </w:tc>
        <w:tc>
          <w:tcPr>
            <w:tcW w:type="dxa" w:w="2304"/>
            <w:shd w:fill="FFF2CC"/>
          </w:tcPr>
          <w:p>
            <w:pPr>
              <w:spacing w:after="20"/>
            </w:pPr>
            <w:r/>
            <w:r>
              <w:rPr>
                <w:b w:val="0"/>
                <w:sz w:val="18"/>
              </w:rPr>
              <w:t>746.993</w:t>
            </w:r>
          </w:p>
        </w:tc>
        <w:tc>
          <w:tcPr>
            <w:tcW w:type="dxa" w:w="1728"/>
            <w:shd w:fill="FFF2CC"/>
          </w:tcPr>
          <w:p>
            <w:pPr>
              <w:spacing w:after="20"/>
            </w:pPr>
            <w:r/>
            <w:r>
              <w:rPr>
                <w:b/>
                <w:sz w:val="18"/>
              </w:rPr>
              <w:t>1st–2nd</w:t>
            </w:r>
          </w:p>
        </w:tc>
        <w:tc>
          <w:tcPr>
            <w:tcW w:type="dxa" w:w="2448"/>
            <w:shd w:fill="FFF2CC"/>
          </w:tcPr>
          <w:p>
            <w:pPr>
              <w:spacing w:after="20"/>
            </w:pPr>
            <w:r/>
            <w:r>
              <w:rPr>
                <w:b w:val="0"/>
                <w:sz w:val="18"/>
              </w:rPr>
              <w:t>0.007</w:t>
            </w:r>
          </w:p>
        </w:tc>
        <w:tc>
          <w:tcPr>
            <w:tcW w:type="dxa" w:w="1872"/>
            <w:shd w:fill="FFF2CC"/>
          </w:tcPr>
          <w:p>
            <w:pPr>
              <w:spacing w:after="20"/>
            </w:pPr>
            <w:r/>
            <w:r>
              <w:rPr>
                <w:b/>
                <w:sz w:val="18"/>
              </w:rPr>
              <w:t>no</w:t>
            </w:r>
          </w:p>
        </w:tc>
      </w:tr>
    </w:tbl>
    <w:p>
      <w:pPr>
        <w:spacing w:after="60"/>
      </w:pPr>
    </w:p>
    <w:p>
      <w:pPr>
        <w:spacing w:after="220"/>
      </w:pPr>
      <w:r>
        <w:rPr>
          <w:i/>
          <w:color w:val="606060"/>
          <w:sz w:val="16"/>
        </w:rPr>
        <w:t>Results/Task31_PLevelResolution.csv · Scripts/Task31.ParameterHeadroom.Sep03.2026.R</w:t>
      </w:r>
    </w:p>
    <w:p>
      <w:r>
        <w:rPr>
          <w:b w:val="0"/>
          <w:i w:val="0"/>
        </w:rPr>
        <w:t xml:space="preserve">The three strictest levels all interpolate between the </w:t>
      </w:r>
      <w:r>
        <w:rPr>
          <w:b/>
          <w:i w:val="0"/>
        </w:rPr>
        <w:t>two most extreme reference samples</w:t>
      </w:r>
      <w:r>
        <w:rPr>
          <w:b w:val="0"/>
          <w:i w:val="0"/>
        </w:rPr>
        <w:t xml:space="preserve">. The two strictest differ from each other by 6% of one gap between samples. Reaching p = 0.0001 honestly would need a reference of 10,002 samples; the largest panel the package ships has 2,015. </w:t>
      </w:r>
      <w:r>
        <w:rPr>
          <w:b/>
          <w:i w:val="0"/>
        </w:rPr>
        <w:t>So the p argument offers two usable settings on this reference, not four.</w:t>
      </w:r>
    </w:p>
    <w:tbl>
      <w:tblPr>
        <w:tblStyle w:val="TableGrid"/>
        <w:tblW w:type="auto" w:w="0"/>
        <w:tblLook w:firstColumn="1" w:firstRow="1" w:lastColumn="0" w:lastRow="0" w:noHBand="0" w:noVBand="1" w:val="04A0"/>
      </w:tblPr>
      <w:tblGrid>
        <w:gridCol w:w="9648"/>
      </w:tblGrid>
      <w:tr>
        <w:tc>
          <w:tcPr>
            <w:tcW w:type="dxa" w:w="9648"/>
            <w:shd w:fill="F2F2F2"/>
          </w:tcPr>
          <w:p>
            <w:pPr>
              <w:spacing w:after="60"/>
            </w:pPr>
            <w:r/>
            <w:r>
              <w:rPr>
                <w:b/>
                <w:color w:val="1F3864"/>
                <w:sz w:val="20"/>
              </w:rPr>
              <w:t>This is the same problem, now on the other side</w:t>
            </w:r>
          </w:p>
          <w:p>
            <w:pPr>
              <w:spacing w:after="40"/>
            </w:pPr>
            <w:r>
              <w:rPr>
                <w:b w:val="0"/>
                <w:i w:val="0"/>
                <w:sz w:val="19"/>
              </w:rPr>
              <w:t xml:space="preserve">The self-referential arm of this project was already known to be degenerate for exactly this reason at n = 53. What is new is that the same order-statistic limit reaches the </w:t>
            </w:r>
            <w:r>
              <w:rPr>
                <w:b/>
                <w:i w:val="0"/>
                <w:sz w:val="19"/>
              </w:rPr>
              <w:t>external</w:t>
            </w:r>
            <w:r>
              <w:rPr>
                <w:b w:val="0"/>
                <w:i w:val="0"/>
                <w:sz w:val="19"/>
              </w:rPr>
              <w:t xml:space="preserve"> arm at the strict end. It is a property of estimating an extreme quantile from a finite sample, not a property of either dataset.</w:t>
            </w:r>
          </w:p>
        </w:tc>
      </w:tr>
    </w:tbl>
    <w:p>
      <w:pPr>
        <w:spacing w:after="80"/>
      </w:pPr>
    </w:p>
    <w:p>
      <w:pPr>
        <w:pStyle w:val="Heading2"/>
      </w:pPr>
      <w:r>
        <w:t>3.2  And a stricter setting would not help anyway</w:t>
      </w:r>
    </w:p>
    <w:p>
      <w:r>
        <w:rPr>
          <w:b w:val="0"/>
          <w:i w:val="0"/>
        </w:rPr>
        <w:t>Thresholds only move upward as p is tightened, so the set of flagged measurements shrinks in a nested way: any stricter setting keeps a subset of the current flags, always dropping the ones closest to the threshold first. That means every outcome reachable by tuning p can be worked out from the results already in hand, without the reference file. The strictest setting that still flags anything keeps one measurement per CpG per direction.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448"/>
            <w:shd w:fill="1F3864"/>
          </w:tcPr>
          <w:p>
            <w:pPr>
              <w:spacing w:after="20"/>
            </w:pPr>
            <w:r/>
            <w:r>
              <w:rPr>
                <w:b/>
                <w:color w:val="FFFFFF"/>
                <w:sz w:val="18"/>
              </w:rPr>
              <w:t>cell</w:t>
            </w:r>
          </w:p>
        </w:tc>
        <w:tc>
          <w:tcPr>
            <w:tcW w:type="dxa" w:w="1872"/>
            <w:shd w:fill="1F3864"/>
          </w:tcPr>
          <w:p>
            <w:pPr>
              <w:spacing w:after="20"/>
            </w:pPr>
            <w:r/>
            <w:r>
              <w:rPr>
                <w:b/>
                <w:color w:val="FFFFFF"/>
                <w:sz w:val="18"/>
              </w:rPr>
              <w:t>setting</w:t>
            </w:r>
          </w:p>
        </w:tc>
        <w:tc>
          <w:tcPr>
            <w:tcW w:type="dxa" w:w="1008"/>
            <w:shd w:fill="1F3864"/>
          </w:tcPr>
          <w:p>
            <w:pPr>
              <w:spacing w:after="20"/>
            </w:pPr>
            <w:r/>
            <w:r>
              <w:rPr>
                <w:b/>
                <w:color w:val="FFFFFF"/>
                <w:sz w:val="18"/>
              </w:rPr>
              <w:t>flags</w:t>
            </w:r>
          </w:p>
        </w:tc>
        <w:tc>
          <w:tcPr>
            <w:tcW w:type="dxa" w:w="1440"/>
            <w:shd w:fill="1F3864"/>
          </w:tcPr>
          <w:p>
            <w:pPr>
              <w:spacing w:after="20"/>
            </w:pPr>
            <w:r/>
            <w:r>
              <w:rPr>
                <w:b/>
                <w:color w:val="FFFFFF"/>
                <w:sz w:val="18"/>
              </w:rPr>
              <w:t>median beta shift</w:t>
            </w:r>
          </w:p>
        </w:tc>
        <w:tc>
          <w:tcPr>
            <w:tcW w:type="dxa" w:w="1152"/>
            <w:shd w:fill="1F3864"/>
          </w:tcPr>
          <w:p>
            <w:pPr>
              <w:spacing w:after="20"/>
            </w:pPr>
            <w:r/>
            <w:r>
              <w:rPr>
                <w:b/>
                <w:color w:val="FFFFFF"/>
                <w:sz w:val="18"/>
              </w:rPr>
              <w:t>under 0.10</w:t>
            </w:r>
          </w:p>
        </w:tc>
        <w:tc>
          <w:tcPr>
            <w:tcW w:type="dxa" w:w="1584"/>
            <w:shd w:fill="1F3864"/>
          </w:tcPr>
          <w:p>
            <w:pPr>
              <w:spacing w:after="20"/>
            </w:pPr>
            <w:r/>
            <w:r>
              <w:rPr>
                <w:b/>
                <w:color w:val="FFFFFF"/>
                <w:sz w:val="18"/>
              </w:rPr>
              <w:t>surviving a 0.10 floor</w:t>
            </w:r>
          </w:p>
        </w:tc>
      </w:tr>
      <w:tr>
        <w:tc>
          <w:tcPr>
            <w:tcW w:type="dxa" w:w="2448"/>
            <w:shd w:fill="FFF2CC"/>
          </w:tcPr>
          <w:p>
            <w:pPr>
              <w:spacing w:after="20"/>
            </w:pPr>
            <w:r/>
            <w:r>
              <w:rPr>
                <w:b w:val="0"/>
                <w:sz w:val="18"/>
              </w:rPr>
              <w:t>H sites, “too high”</w:t>
            </w:r>
          </w:p>
        </w:tc>
        <w:tc>
          <w:tcPr>
            <w:tcW w:type="dxa" w:w="1872"/>
            <w:shd w:fill="FFF2CC"/>
          </w:tcPr>
          <w:p>
            <w:pPr>
              <w:spacing w:after="20"/>
            </w:pPr>
            <w:r/>
            <w:r>
              <w:rPr>
                <w:b w:val="0"/>
                <w:sz w:val="18"/>
              </w:rPr>
              <w:t>p = 0.01, as run</w:t>
            </w:r>
          </w:p>
        </w:tc>
        <w:tc>
          <w:tcPr>
            <w:tcW w:type="dxa" w:w="1008"/>
            <w:shd w:fill="FFF2CC"/>
          </w:tcPr>
          <w:p>
            <w:pPr>
              <w:spacing w:after="20"/>
            </w:pPr>
            <w:r/>
            <w:r>
              <w:rPr>
                <w:b w:val="0"/>
                <w:sz w:val="18"/>
              </w:rPr>
              <w:t>1127</w:t>
            </w:r>
          </w:p>
        </w:tc>
        <w:tc>
          <w:tcPr>
            <w:tcW w:type="dxa" w:w="1440"/>
            <w:shd w:fill="FFF2CC"/>
          </w:tcPr>
          <w:p>
            <w:pPr>
              <w:spacing w:after="20"/>
            </w:pPr>
            <w:r/>
            <w:r>
              <w:rPr>
                <w:b w:val="0"/>
                <w:sz w:val="18"/>
              </w:rPr>
              <w:t>0.0281</w:t>
            </w:r>
          </w:p>
        </w:tc>
        <w:tc>
          <w:tcPr>
            <w:tcW w:type="dxa" w:w="1152"/>
            <w:shd w:fill="FFF2CC"/>
          </w:tcPr>
          <w:p>
            <w:pPr>
              <w:spacing w:after="20"/>
            </w:pPr>
            <w:r/>
            <w:r>
              <w:rPr>
                <w:b/>
                <w:sz w:val="18"/>
              </w:rPr>
              <w:t>100%</w:t>
            </w:r>
          </w:p>
        </w:tc>
        <w:tc>
          <w:tcPr>
            <w:tcW w:type="dxa" w:w="1584"/>
            <w:shd w:fill="FFF2CC"/>
          </w:tcPr>
          <w:p>
            <w:pPr>
              <w:spacing w:after="20"/>
            </w:pPr>
            <w:r/>
            <w:r>
              <w:rPr>
                <w:b/>
                <w:sz w:val="18"/>
              </w:rPr>
              <w:t>0</w:t>
            </w:r>
          </w:p>
        </w:tc>
      </w:tr>
      <w:tr>
        <w:tc>
          <w:tcPr>
            <w:tcW w:type="dxa" w:w="2448"/>
            <w:shd w:fill="FFF2CC"/>
          </w:tcPr>
          <w:p>
            <w:pPr>
              <w:spacing w:after="20"/>
            </w:pPr>
            <w:r/>
          </w:p>
        </w:tc>
        <w:tc>
          <w:tcPr>
            <w:tcW w:type="dxa" w:w="1872"/>
            <w:shd w:fill="FFF2CC"/>
          </w:tcPr>
          <w:p>
            <w:pPr>
              <w:spacing w:after="20"/>
            </w:pPr>
            <w:r/>
            <w:r>
              <w:rPr>
                <w:b w:val="0"/>
                <w:sz w:val="18"/>
              </w:rPr>
              <w:t>strictest reachable p</w:t>
            </w:r>
          </w:p>
        </w:tc>
        <w:tc>
          <w:tcPr>
            <w:tcW w:type="dxa" w:w="1008"/>
            <w:shd w:fill="FFF2CC"/>
          </w:tcPr>
          <w:p>
            <w:pPr>
              <w:spacing w:after="20"/>
            </w:pPr>
            <w:r/>
            <w:r>
              <w:rPr>
                <w:b w:val="0"/>
                <w:sz w:val="18"/>
              </w:rPr>
              <w:t>536</w:t>
            </w:r>
          </w:p>
        </w:tc>
        <w:tc>
          <w:tcPr>
            <w:tcW w:type="dxa" w:w="1440"/>
            <w:shd w:fill="FFF2CC"/>
          </w:tcPr>
          <w:p>
            <w:pPr>
              <w:spacing w:after="20"/>
            </w:pPr>
            <w:r/>
            <w:r>
              <w:rPr>
                <w:b w:val="0"/>
                <w:sz w:val="18"/>
              </w:rPr>
              <w:t>0.0308</w:t>
            </w:r>
          </w:p>
        </w:tc>
        <w:tc>
          <w:tcPr>
            <w:tcW w:type="dxa" w:w="1152"/>
            <w:shd w:fill="FFF2CC"/>
          </w:tcPr>
          <w:p>
            <w:pPr>
              <w:spacing w:after="20"/>
            </w:pPr>
            <w:r/>
            <w:r>
              <w:rPr>
                <w:b/>
                <w:sz w:val="18"/>
              </w:rPr>
              <w:t>100%</w:t>
            </w:r>
          </w:p>
        </w:tc>
        <w:tc>
          <w:tcPr>
            <w:tcW w:type="dxa" w:w="1584"/>
            <w:shd w:fill="FFF2CC"/>
          </w:tcPr>
          <w:p>
            <w:pPr>
              <w:spacing w:after="20"/>
            </w:pPr>
            <w:r/>
            <w:r>
              <w:rPr>
                <w:b/>
                <w:sz w:val="18"/>
              </w:rPr>
              <w:t>0</w:t>
            </w:r>
          </w:p>
        </w:tc>
      </w:tr>
      <w:tr>
        <w:tc>
          <w:tcPr>
            <w:tcW w:type="dxa" w:w="2448"/>
          </w:tcPr>
          <w:p>
            <w:pPr>
              <w:spacing w:after="20"/>
            </w:pPr>
            <w:r/>
            <w:r>
              <w:rPr>
                <w:b w:val="0"/>
                <w:sz w:val="18"/>
              </w:rPr>
              <w:t>L sites, “too low”</w:t>
            </w:r>
          </w:p>
        </w:tc>
        <w:tc>
          <w:tcPr>
            <w:tcW w:type="dxa" w:w="1872"/>
          </w:tcPr>
          <w:p>
            <w:pPr>
              <w:spacing w:after="20"/>
            </w:pPr>
            <w:r/>
            <w:r>
              <w:rPr>
                <w:b w:val="0"/>
                <w:sz w:val="18"/>
              </w:rPr>
              <w:t>p = 0.01, as run</w:t>
            </w:r>
          </w:p>
        </w:tc>
        <w:tc>
          <w:tcPr>
            <w:tcW w:type="dxa" w:w="1008"/>
          </w:tcPr>
          <w:p>
            <w:pPr>
              <w:spacing w:after="20"/>
            </w:pPr>
            <w:r/>
            <w:r>
              <w:rPr>
                <w:b w:val="0"/>
                <w:sz w:val="18"/>
              </w:rPr>
              <w:t>1894</w:t>
            </w:r>
          </w:p>
        </w:tc>
        <w:tc>
          <w:tcPr>
            <w:tcW w:type="dxa" w:w="1440"/>
          </w:tcPr>
          <w:p>
            <w:pPr>
              <w:spacing w:after="20"/>
            </w:pPr>
            <w:r/>
            <w:r>
              <w:rPr>
                <w:b w:val="0"/>
                <w:sz w:val="18"/>
              </w:rPr>
              <w:t>0.0135</w:t>
            </w:r>
          </w:p>
        </w:tc>
        <w:tc>
          <w:tcPr>
            <w:tcW w:type="dxa" w:w="1152"/>
          </w:tcPr>
          <w:p>
            <w:pPr>
              <w:spacing w:after="20"/>
            </w:pPr>
            <w:r/>
            <w:r>
              <w:rPr>
                <w:b/>
                <w:sz w:val="18"/>
              </w:rPr>
              <w:t>99.8%</w:t>
            </w:r>
          </w:p>
        </w:tc>
        <w:tc>
          <w:tcPr>
            <w:tcW w:type="dxa" w:w="1584"/>
          </w:tcPr>
          <w:p>
            <w:pPr>
              <w:spacing w:after="20"/>
            </w:pPr>
            <w:r/>
            <w:r>
              <w:rPr>
                <w:b/>
                <w:sz w:val="18"/>
              </w:rPr>
              <w:t>4</w:t>
            </w:r>
          </w:p>
        </w:tc>
      </w:tr>
      <w:tr>
        <w:tc>
          <w:tcPr>
            <w:tcW w:type="dxa" w:w="2448"/>
          </w:tcPr>
          <w:p>
            <w:pPr>
              <w:spacing w:after="20"/>
            </w:pPr>
            <w:r/>
          </w:p>
        </w:tc>
        <w:tc>
          <w:tcPr>
            <w:tcW w:type="dxa" w:w="1872"/>
          </w:tcPr>
          <w:p>
            <w:pPr>
              <w:spacing w:after="20"/>
            </w:pPr>
            <w:r/>
            <w:r>
              <w:rPr>
                <w:b w:val="0"/>
                <w:sz w:val="18"/>
              </w:rPr>
              <w:t>strictest reachable p</w:t>
            </w:r>
          </w:p>
        </w:tc>
        <w:tc>
          <w:tcPr>
            <w:tcW w:type="dxa" w:w="1008"/>
          </w:tcPr>
          <w:p>
            <w:pPr>
              <w:spacing w:after="20"/>
            </w:pPr>
            <w:r/>
            <w:r>
              <w:rPr>
                <w:b w:val="0"/>
                <w:sz w:val="18"/>
              </w:rPr>
              <w:t>977</w:t>
            </w:r>
          </w:p>
        </w:tc>
        <w:tc>
          <w:tcPr>
            <w:tcW w:type="dxa" w:w="1440"/>
          </w:tcPr>
          <w:p>
            <w:pPr>
              <w:spacing w:after="20"/>
            </w:pPr>
            <w:r/>
            <w:r>
              <w:rPr>
                <w:b w:val="0"/>
                <w:sz w:val="18"/>
              </w:rPr>
              <w:t>0.0134</w:t>
            </w:r>
          </w:p>
        </w:tc>
        <w:tc>
          <w:tcPr>
            <w:tcW w:type="dxa" w:w="1152"/>
          </w:tcPr>
          <w:p>
            <w:pPr>
              <w:spacing w:after="20"/>
            </w:pPr>
            <w:r/>
            <w:r>
              <w:rPr>
                <w:b/>
                <w:sz w:val="18"/>
              </w:rPr>
              <w:t>99.8%</w:t>
            </w:r>
          </w:p>
        </w:tc>
        <w:tc>
          <w:tcPr>
            <w:tcW w:type="dxa" w:w="1584"/>
          </w:tcPr>
          <w:p>
            <w:pPr>
              <w:spacing w:after="20"/>
            </w:pPr>
            <w:r/>
            <w:r>
              <w:rPr>
                <w:b/>
                <w:sz w:val="18"/>
              </w:rPr>
              <w:t>2</w:t>
            </w:r>
          </w:p>
        </w:tc>
      </w:tr>
      <w:tr>
        <w:tc>
          <w:tcPr>
            <w:tcW w:type="dxa" w:w="2448"/>
          </w:tcPr>
          <w:p>
            <w:pPr>
              <w:spacing w:after="20"/>
            </w:pPr>
            <w:r/>
            <w:r>
              <w:rPr>
                <w:b w:val="0"/>
                <w:sz w:val="18"/>
              </w:rPr>
              <w:t>R sites, “too high” (for contrast)</w:t>
            </w:r>
          </w:p>
        </w:tc>
        <w:tc>
          <w:tcPr>
            <w:tcW w:type="dxa" w:w="1872"/>
          </w:tcPr>
          <w:p>
            <w:pPr>
              <w:spacing w:after="20"/>
            </w:pPr>
            <w:r/>
            <w:r>
              <w:rPr>
                <w:b w:val="0"/>
                <w:sz w:val="18"/>
              </w:rPr>
              <w:t>p = 0.01, as run</w:t>
            </w:r>
          </w:p>
        </w:tc>
        <w:tc>
          <w:tcPr>
            <w:tcW w:type="dxa" w:w="1008"/>
          </w:tcPr>
          <w:p>
            <w:pPr>
              <w:spacing w:after="20"/>
            </w:pPr>
            <w:r/>
            <w:r>
              <w:rPr>
                <w:b w:val="0"/>
                <w:sz w:val="18"/>
              </w:rPr>
              <w:t>310</w:t>
            </w:r>
          </w:p>
        </w:tc>
        <w:tc>
          <w:tcPr>
            <w:tcW w:type="dxa" w:w="1440"/>
          </w:tcPr>
          <w:p>
            <w:pPr>
              <w:spacing w:after="20"/>
            </w:pPr>
            <w:r/>
            <w:r>
              <w:rPr>
                <w:b w:val="0"/>
                <w:sz w:val="18"/>
              </w:rPr>
              <w:t>0.3135</w:t>
            </w:r>
          </w:p>
        </w:tc>
        <w:tc>
          <w:tcPr>
            <w:tcW w:type="dxa" w:w="1152"/>
          </w:tcPr>
          <w:p>
            <w:pPr>
              <w:spacing w:after="20"/>
            </w:pPr>
            <w:r/>
            <w:r>
              <w:rPr>
                <w:b/>
                <w:sz w:val="18"/>
              </w:rPr>
              <w:t>0.3%</w:t>
            </w:r>
          </w:p>
        </w:tc>
        <w:tc>
          <w:tcPr>
            <w:tcW w:type="dxa" w:w="1584"/>
          </w:tcPr>
          <w:p>
            <w:pPr>
              <w:spacing w:after="20"/>
            </w:pPr>
            <w:r/>
            <w:r>
              <w:rPr>
                <w:b/>
                <w:sz w:val="18"/>
              </w:rPr>
              <w:t>309</w:t>
            </w:r>
          </w:p>
        </w:tc>
      </w:tr>
      <w:tr>
        <w:tc>
          <w:tcPr>
            <w:tcW w:type="dxa" w:w="2448"/>
          </w:tcPr>
          <w:p>
            <w:pPr>
              <w:spacing w:after="20"/>
            </w:pPr>
            <w:r/>
          </w:p>
        </w:tc>
        <w:tc>
          <w:tcPr>
            <w:tcW w:type="dxa" w:w="1872"/>
          </w:tcPr>
          <w:p>
            <w:pPr>
              <w:spacing w:after="20"/>
            </w:pPr>
            <w:r/>
            <w:r>
              <w:rPr>
                <w:b w:val="0"/>
                <w:sz w:val="18"/>
              </w:rPr>
              <w:t>strictest reachable p</w:t>
            </w:r>
          </w:p>
        </w:tc>
        <w:tc>
          <w:tcPr>
            <w:tcW w:type="dxa" w:w="1008"/>
          </w:tcPr>
          <w:p>
            <w:pPr>
              <w:spacing w:after="20"/>
            </w:pPr>
            <w:r/>
            <w:r>
              <w:rPr>
                <w:b w:val="0"/>
                <w:sz w:val="18"/>
              </w:rPr>
              <w:t>136</w:t>
            </w:r>
          </w:p>
        </w:tc>
        <w:tc>
          <w:tcPr>
            <w:tcW w:type="dxa" w:w="1440"/>
          </w:tcPr>
          <w:p>
            <w:pPr>
              <w:spacing w:after="20"/>
            </w:pPr>
            <w:r/>
            <w:r>
              <w:rPr>
                <w:b w:val="0"/>
                <w:sz w:val="18"/>
              </w:rPr>
              <w:t>0.3421</w:t>
            </w:r>
          </w:p>
        </w:tc>
        <w:tc>
          <w:tcPr>
            <w:tcW w:type="dxa" w:w="1152"/>
          </w:tcPr>
          <w:p>
            <w:pPr>
              <w:spacing w:after="20"/>
            </w:pPr>
            <w:r/>
            <w:r>
              <w:rPr>
                <w:b/>
                <w:sz w:val="18"/>
              </w:rPr>
              <w:t>0%</w:t>
            </w:r>
          </w:p>
        </w:tc>
        <w:tc>
          <w:tcPr>
            <w:tcW w:type="dxa" w:w="1584"/>
          </w:tcPr>
          <w:p>
            <w:pPr>
              <w:spacing w:after="20"/>
            </w:pPr>
            <w:r/>
            <w:r>
              <w:rPr>
                <w:b/>
                <w:sz w:val="18"/>
              </w:rPr>
              <w:t>136</w:t>
            </w:r>
          </w:p>
        </w:tc>
      </w:tr>
    </w:tbl>
    <w:p>
      <w:pPr>
        <w:spacing w:after="60"/>
      </w:pPr>
    </w:p>
    <w:p>
      <w:pPr>
        <w:spacing w:after="220"/>
      </w:pPr>
      <w:r>
        <w:rPr>
          <w:i/>
          <w:color w:val="606060"/>
          <w:sz w:val="16"/>
        </w:rPr>
        <w:t>chr22, normal tissue · Results/Task31_PEnvelope.csv</w:t>
      </w:r>
    </w:p>
    <w:p>
      <w:r>
        <w:rPr>
          <w:b/>
          <w:i w:val="0"/>
        </w:rPr>
        <w:t>The ceiling is structural.</w:t>
      </w:r>
      <w:r>
        <w:rPr>
          <w:b w:val="0"/>
          <w:i w:val="0"/>
        </w:rPr>
        <w:t xml:space="preserve"> At H sites the median methylation across the cohort is 0.934, so there is only 0.066 of scale left above it. Just </w:t>
      </w:r>
      <w:r>
        <w:rPr>
          <w:b/>
          <w:i w:val="0"/>
        </w:rPr>
        <w:t>0.24%</w:t>
      </w:r>
      <w:r>
        <w:rPr>
          <w:b w:val="0"/>
          <w:i w:val="0"/>
        </w:rPr>
        <w:t xml:space="preserve"> of all H measurements sit 0.10 or more from their site's median — against 38.4% at R sites. There is nothing there for a stricter threshold to find.</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Fig8_PEnvelope.png"/>
                    <pic:cNvPicPr/>
                  </pic:nvPicPr>
                  <pic:blipFill>
                    <a:blip r:embed="rId11"/>
                    <a:stretch>
                      <a:fillRect/>
                    </a:stretch>
                  </pic:blipFill>
                  <pic:spPr>
                    <a:xfrm>
                      <a:off x="0" y="0"/>
                      <a:ext cx="5852160" cy="2926080"/>
                    </a:xfrm>
                    <a:prstGeom prst="rect"/>
                  </pic:spPr>
                </pic:pic>
              </a:graphicData>
            </a:graphic>
          </wp:inline>
        </w:drawing>
      </w:r>
    </w:p>
    <w:p>
      <w:pPr>
        <w:spacing w:after="240"/>
        <w:jc w:val="center"/>
      </w:pPr>
      <w:r>
        <w:rPr>
          <w:b/>
          <w:i w:val="0"/>
          <w:color w:val="606060"/>
          <w:sz w:val="17"/>
        </w:rPr>
        <w:t>Figure 3.</w:t>
      </w:r>
      <w:r>
        <w:rPr>
          <w:b w:val="0"/>
          <w:i/>
          <w:color w:val="606060"/>
          <w:sz w:val="17"/>
        </w:rPr>
        <w:t xml:space="preserve"> For each contrary cell, the median beta shift of its flags at the setting used against the strictest any setting of p could reach. If tightening p helped, the dark bar would be taller. The dashed line is 0.10, the smallest shift worth calling real on this platform.</w:t>
      </w:r>
    </w:p>
    <w:p>
      <w:r>
        <w:rPr>
          <w:b/>
          <w:i w:val="0"/>
        </w:rPr>
        <w:t>In one sentence: p changes how many flags you get, and never how big they are.</w:t>
      </w:r>
    </w:p>
    <w:p>
      <w:r>
        <w:br w:type="page"/>
      </w:r>
    </w:p>
    <w:p>
      <w:pPr>
        <w:pStyle w:val="Heading1"/>
      </w:pPr>
      <w:r>
        <w:t>4. Does OutlierMeth identify outlying samples? And the two packages</w:t>
      </w:r>
    </w:p>
    <w:p>
      <w:r>
        <w:rPr>
          <w:b/>
          <w:i w:val="0"/>
        </w:rPr>
        <w:t>No.</w:t>
      </w:r>
      <w:r>
        <w:rPr>
          <w:b w:val="0"/>
          <w:i w:val="0"/>
        </w:rPr>
        <w:t xml:space="preserve"> The package exports four functions and the unit of every one of them is the individual measurement, not the sample.</w:t>
      </w:r>
    </w:p>
    <w:tbl>
      <w:tblPr>
        <w:tblStyle w:val="TableGrid"/>
        <w:tblW w:type="auto" w:w="0"/>
        <w:jc w:val="center"/>
        <w:tblLook w:firstColumn="1" w:firstRow="1" w:lastColumn="0" w:lastRow="0" w:noHBand="0" w:noVBand="1" w:val="04A0"/>
      </w:tblPr>
      <w:tblGrid>
        <w:gridCol w:w="4824"/>
        <w:gridCol w:w="4824"/>
      </w:tblGrid>
      <w:tr>
        <w:tc>
          <w:tcPr>
            <w:tcW w:type="dxa" w:w="2880"/>
            <w:shd w:fill="1F3864"/>
          </w:tcPr>
          <w:p>
            <w:pPr>
              <w:spacing w:after="20"/>
            </w:pPr>
            <w:r/>
            <w:r>
              <w:rPr>
                <w:b/>
                <w:color w:val="FFFFFF"/>
                <w:sz w:val="18"/>
              </w:rPr>
              <w:t>function</w:t>
            </w:r>
          </w:p>
        </w:tc>
        <w:tc>
          <w:tcPr>
            <w:tcW w:type="dxa" w:w="6192"/>
            <w:shd w:fill="1F3864"/>
          </w:tcPr>
          <w:p>
            <w:pPr>
              <w:spacing w:after="20"/>
            </w:pPr>
            <w:r/>
            <w:r>
              <w:rPr>
                <w:b/>
                <w:color w:val="FFFFFF"/>
                <w:sz w:val="18"/>
              </w:rPr>
              <w:t>what it returns</w:t>
            </w:r>
          </w:p>
        </w:tc>
      </w:tr>
      <w:tr>
        <w:tc>
          <w:tcPr>
            <w:tcW w:type="dxa" w:w="2880"/>
          </w:tcPr>
          <w:p>
            <w:pPr>
              <w:spacing w:after="20"/>
            </w:pPr>
            <w:r/>
            <w:r>
              <w:rPr>
                <w:b w:val="0"/>
                <w:sz w:val="18"/>
              </w:rPr>
              <w:t>referenceMeth(beta)</w:t>
            </w:r>
          </w:p>
        </w:tc>
        <w:tc>
          <w:tcPr>
            <w:tcW w:type="dxa" w:w="6192"/>
          </w:tcPr>
          <w:p>
            <w:pPr>
              <w:spacing w:after="20"/>
            </w:pPr>
            <w:r/>
            <w:r>
              <w:rPr>
                <w:b w:val="0"/>
                <w:sz w:val="18"/>
              </w:rPr>
              <w:t>the per-probe threshold table</w:t>
            </w:r>
          </w:p>
        </w:tc>
      </w:tr>
      <w:tr>
        <w:tc>
          <w:tcPr>
            <w:tcW w:type="dxa" w:w="2880"/>
          </w:tcPr>
          <w:p>
            <w:pPr>
              <w:spacing w:after="20"/>
            </w:pPr>
            <w:r/>
            <w:r>
              <w:rPr>
                <w:b w:val="0"/>
                <w:sz w:val="18"/>
              </w:rPr>
              <w:t>flagMeth(beta, reference, p)</w:t>
            </w:r>
          </w:p>
        </w:tc>
        <w:tc>
          <w:tcPr>
            <w:tcW w:type="dxa" w:w="6192"/>
          </w:tcPr>
          <w:p>
            <w:pPr>
              <w:spacing w:after="20"/>
            </w:pPr>
            <w:r/>
            <w:r>
              <w:rPr>
                <w:b w:val="0"/>
                <w:sz w:val="18"/>
              </w:rPr>
              <w:t>a CpG × sample matrix of −1 / 0 / +1</w:t>
            </w:r>
          </w:p>
        </w:tc>
      </w:tr>
      <w:tr>
        <w:tc>
          <w:tcPr>
            <w:tcW w:type="dxa" w:w="2880"/>
          </w:tcPr>
          <w:p>
            <w:pPr>
              <w:spacing w:after="20"/>
            </w:pPr>
            <w:r/>
            <w:r>
              <w:rPr>
                <w:b w:val="0"/>
                <w:sz w:val="18"/>
              </w:rPr>
              <w:t>deltMeth(…)</w:t>
            </w:r>
          </w:p>
        </w:tc>
        <w:tc>
          <w:tcPr>
            <w:tcW w:type="dxa" w:w="6192"/>
          </w:tcPr>
          <w:p>
            <w:pPr>
              <w:spacing w:after="20"/>
            </w:pPr>
            <w:r/>
            <w:r>
              <w:rPr>
                <w:b w:val="0"/>
                <w:sz w:val="18"/>
              </w:rPr>
              <w:t>the same cells as beta − threshold</w:t>
            </w:r>
          </w:p>
        </w:tc>
      </w:tr>
      <w:tr>
        <w:tc>
          <w:tcPr>
            <w:tcW w:type="dxa" w:w="2880"/>
          </w:tcPr>
          <w:p>
            <w:pPr>
              <w:spacing w:after="20"/>
            </w:pPr>
            <w:r/>
            <w:r>
              <w:rPr>
                <w:b w:val="0"/>
                <w:sz w:val="18"/>
              </w:rPr>
              <w:t>relMeth(…)</w:t>
            </w:r>
          </w:p>
        </w:tc>
        <w:tc>
          <w:tcPr>
            <w:tcW w:type="dxa" w:w="6192"/>
          </w:tcPr>
          <w:p>
            <w:pPr>
              <w:spacing w:after="20"/>
            </w:pPr>
            <w:r/>
            <w:r>
              <w:rPr>
                <w:b w:val="0"/>
                <w:sz w:val="18"/>
              </w:rPr>
              <w:t>the same, divided by the remaining room to the boundary</w:t>
            </w:r>
          </w:p>
        </w:tc>
      </w:tr>
    </w:tbl>
    <w:p>
      <w:pPr>
        <w:spacing w:after="60"/>
      </w:pPr>
    </w:p>
    <w:p>
      <w:r>
        <w:rPr>
          <w:b w:val="0"/>
          <w:i w:val="0"/>
        </w:rPr>
        <w:t>There is no sample-level call, no burden statistic and no multiple-testing control. Every per-sample table in this project is a column sum we compute ourselves. If “outlying sample” is a wanted output it has to be defined here, with its own null — and the batch, purity and cell-composition confounds excluded first.</w:t>
      </w:r>
    </w:p>
    <w:tbl>
      <w:tblPr>
        <w:tblStyle w:val="TableGrid"/>
        <w:tblW w:type="auto" w:w="0"/>
        <w:tblLook w:firstColumn="1" w:firstRow="1" w:lastColumn="0" w:lastRow="0" w:noHBand="0" w:noVBand="1" w:val="04A0"/>
      </w:tblPr>
      <w:tblGrid>
        <w:gridCol w:w="9648"/>
      </w:tblGrid>
      <w:tr>
        <w:tc>
          <w:tcPr>
            <w:tcW w:type="dxa" w:w="9648"/>
            <w:shd w:fill="FDF0F0"/>
          </w:tcPr>
          <w:p>
            <w:pPr>
              <w:spacing w:after="60"/>
            </w:pPr>
            <w:r/>
            <w:r>
              <w:rPr>
                <w:b/>
                <w:color w:val="1F3864"/>
                <w:sz w:val="20"/>
              </w:rPr>
              <w:t>A trap worth flagging: relMeth points the wrong way</w:t>
            </w:r>
          </w:p>
          <w:p>
            <w:pPr>
              <w:spacing w:after="40"/>
            </w:pPr>
            <w:r>
              <w:rPr>
                <w:b w:val="0"/>
                <w:i w:val="0"/>
                <w:sz w:val="19"/>
              </w:rPr>
              <w:t xml:space="preserve">deltMeth returns beta − threshold, which is one comparison away from the magnitude floor this project recommends — the machinery is already there. relMeth divides that by the room left to the boundary, which at H sites is 0.037. Measured on chr22 normal tissue, the median deltMeth at H sites is </w:t>
            </w:r>
            <w:r>
              <w:rPr>
                <w:b/>
                <w:i w:val="0"/>
                <w:sz w:val="19"/>
              </w:rPr>
              <w:t>0.0022</w:t>
            </w:r>
            <w:r>
              <w:rPr>
                <w:b w:val="0"/>
                <w:i w:val="0"/>
                <w:sz w:val="19"/>
              </w:rPr>
              <w:t xml:space="preserve"> and the median relMeth is </w:t>
            </w:r>
            <w:r>
              <w:rPr>
                <w:b/>
                <w:i w:val="0"/>
                <w:sz w:val="19"/>
              </w:rPr>
              <w:t>0.0746</w:t>
            </w:r>
            <w:r>
              <w:rPr>
                <w:b w:val="0"/>
                <w:i w:val="0"/>
                <w:sz w:val="19"/>
              </w:rPr>
              <w:t xml:space="preserve">: a </w:t>
            </w:r>
            <w:r>
              <w:rPr>
                <w:b/>
                <w:i w:val="0"/>
                <w:sz w:val="19"/>
              </w:rPr>
              <w:t>34-fold inflation</w:t>
            </w:r>
            <w:r>
              <w:rPr>
                <w:b w:val="0"/>
                <w:i w:val="0"/>
                <w:sz w:val="19"/>
              </w:rPr>
              <w:t>, and 11-fold at HM.</w:t>
              <w:br/>
              <w:br/>
              <w:t>A user reaching for relMeth to get an interpretable effect size would get the flags whose direction the state made inevitable coming back as the largest effects in the dataset.</w:t>
            </w:r>
          </w:p>
        </w:tc>
      </w:tr>
    </w:tbl>
    <w:p>
      <w:pPr>
        <w:spacing w:after="80"/>
      </w:pPr>
    </w:p>
    <w:p>
      <w:pPr>
        <w:pStyle w:val="Heading2"/>
      </w:pPr>
      <w:r>
        <w:t>4.1  Borealis</w:t>
      </w:r>
    </w:p>
    <w:p>
      <w:r>
        <w:rPr>
          <w:b w:val="0"/>
          <w:i w:val="0"/>
        </w:rPr>
        <w:t xml:space="preserve">Outlier detection for </w:t>
      </w:r>
      <w:r>
        <w:rPr>
          <w:b/>
          <w:i w:val="0"/>
        </w:rPr>
        <w:t>bisulfite sequencing read counts</w:t>
      </w:r>
      <w:r>
        <w:rPr>
          <w:b w:val="0"/>
          <w:i w:val="0"/>
        </w:rPr>
        <w:t>, aimed at rare disease diagnosis. It fits a beta-binomial per CpG — methylated reads out of total reads, with a cohort mean and a dispersion — and tests each sample against that fitted distribution. Output carries a p-value, an effect size, and a direction field whose third value is “change too small to call”.</w:t>
      </w:r>
    </w:p>
    <w:p>
      <w:r>
        <w:rPr>
          <w:b/>
          <w:i w:val="0"/>
        </w:rPr>
        <w:t>Why it matters here.</w:t>
      </w:r>
      <w:r>
        <w:rPr>
          <w:b w:val="0"/>
          <w:i w:val="0"/>
        </w:rPr>
        <w:t xml:space="preserve"> It is the model-based version of what this project keeps concluding is needed: dispersion is in the model, so a fixed shift is not equally significant everywhere; read depth carries its own uncertainty; and “too small to call” is a built-in class rather than something bolted on afterwards.</w:t>
      </w:r>
    </w:p>
    <w:p>
      <w:r>
        <w:rPr>
          <w:b/>
          <w:i w:val="0"/>
        </w:rPr>
        <w:t>Why it cannot be used directly.</w:t>
      </w:r>
      <w:r>
        <w:rPr>
          <w:b w:val="0"/>
          <w:i w:val="0"/>
        </w:rPr>
        <w:t xml:space="preserve"> It needs read counts. A 450k beta value is an intensity ratio with no underlying count, so a beta-binomial cannot be fitted without inventing one. The transferable idea is the shape, not the code.</w:t>
      </w:r>
    </w:p>
    <w:p>
      <w:pPr>
        <w:pStyle w:val="Heading2"/>
      </w:pPr>
      <w:r>
        <w:t>4.2  epimutacions</w:t>
      </w:r>
    </w:p>
    <w:p>
      <w:r>
        <w:rPr>
          <w:b w:val="0"/>
          <w:i w:val="0"/>
        </w:rPr>
        <w:t xml:space="preserve">Six outlier methods for array beta values, run either against a reference panel or leave-one-out within a cohort. An </w:t>
      </w:r>
      <w:r>
        <w:rPr>
          <w:b/>
          <w:i w:val="0"/>
        </w:rPr>
        <w:t>epimutation</w:t>
      </w:r>
      <w:r>
        <w:rPr>
          <w:b w:val="0"/>
          <w:i w:val="0"/>
        </w:rPr>
        <w:t xml:space="preserve"> is defined as a run of at least 3 outlier CpGs within 1 kb — the definition this project already adopted after N37's eleven flags turned out to be three events.</w:t>
      </w:r>
    </w:p>
    <w:tbl>
      <w:tblPr>
        <w:tblStyle w:val="TableGrid"/>
        <w:tblW w:type="auto" w:w="0"/>
        <w:jc w:val="center"/>
        <w:tblLook w:firstColumn="1" w:firstRow="1" w:lastColumn="0" w:lastRow="0" w:noHBand="0" w:noVBand="1" w:val="04A0"/>
      </w:tblPr>
      <w:tblGrid>
        <w:gridCol w:w="4824"/>
        <w:gridCol w:w="4824"/>
      </w:tblGrid>
      <w:tr>
        <w:tc>
          <w:tcPr>
            <w:tcW w:type="dxa" w:w="2016"/>
            <w:shd w:fill="1F3864"/>
          </w:tcPr>
          <w:p>
            <w:pPr>
              <w:spacing w:after="20"/>
            </w:pPr>
            <w:r/>
            <w:r>
              <w:rPr>
                <w:b/>
                <w:color w:val="FFFFFF"/>
                <w:sz w:val="18"/>
              </w:rPr>
              <w:t>method</w:t>
            </w:r>
          </w:p>
        </w:tc>
        <w:tc>
          <w:tcPr>
            <w:tcW w:type="dxa" w:w="7056"/>
            <w:shd w:fill="1F3864"/>
          </w:tcPr>
          <w:p>
            <w:pPr>
              <w:spacing w:after="20"/>
            </w:pPr>
            <w:r/>
            <w:r>
              <w:rPr>
                <w:b/>
                <w:color w:val="FFFFFF"/>
                <w:sz w:val="18"/>
              </w:rPr>
              <w:t>parameters and defaults</w:t>
            </w:r>
          </w:p>
        </w:tc>
      </w:tr>
      <w:tr>
        <w:tc>
          <w:tcPr>
            <w:tcW w:type="dxa" w:w="2016"/>
          </w:tcPr>
          <w:p>
            <w:pPr>
              <w:spacing w:after="20"/>
            </w:pPr>
            <w:r/>
            <w:r>
              <w:rPr>
                <w:b w:val="0"/>
                <w:sz w:val="18"/>
              </w:rPr>
              <w:t>quantile</w:t>
            </w:r>
          </w:p>
        </w:tc>
        <w:tc>
          <w:tcPr>
            <w:tcW w:type="dxa" w:w="7056"/>
          </w:tcPr>
          <w:p>
            <w:pPr>
              <w:spacing w:after="20"/>
            </w:pPr>
            <w:r/>
            <w:r>
              <w:rPr>
                <w:b w:val="0"/>
                <w:sz w:val="18"/>
              </w:rPr>
              <w:t xml:space="preserve">window_sz = 1000, qsup = 0.995, qinf = 0.005, </w:t>
            </w:r>
            <w:r>
              <w:rPr>
                <w:b/>
                <w:sz w:val="18"/>
              </w:rPr>
              <w:t>offset_abs = 0.15</w:t>
            </w:r>
          </w:p>
        </w:tc>
      </w:tr>
      <w:tr>
        <w:tc>
          <w:tcPr>
            <w:tcW w:type="dxa" w:w="2016"/>
          </w:tcPr>
          <w:p>
            <w:pPr>
              <w:spacing w:after="20"/>
            </w:pPr>
            <w:r/>
            <w:r>
              <w:rPr>
                <w:b w:val="0"/>
                <w:sz w:val="18"/>
              </w:rPr>
              <w:t>beta</w:t>
            </w:r>
          </w:p>
        </w:tc>
        <w:tc>
          <w:tcPr>
            <w:tcW w:type="dxa" w:w="7056"/>
          </w:tcPr>
          <w:p>
            <w:pPr>
              <w:spacing w:after="20"/>
            </w:pPr>
            <w:r/>
            <w:r>
              <w:rPr>
                <w:b w:val="0"/>
                <w:sz w:val="18"/>
              </w:rPr>
              <w:t xml:space="preserve">pvalue_cutoff = 1e-06, </w:t>
            </w:r>
            <w:r>
              <w:rPr>
                <w:b/>
                <w:sz w:val="18"/>
              </w:rPr>
              <w:t>diff_threshold = 0.1</w:t>
            </w:r>
          </w:p>
        </w:tc>
      </w:tr>
      <w:tr>
        <w:tc>
          <w:tcPr>
            <w:tcW w:type="dxa" w:w="2016"/>
          </w:tcPr>
          <w:p>
            <w:pPr>
              <w:spacing w:after="20"/>
            </w:pPr>
            <w:r/>
            <w:r>
              <w:rPr>
                <w:b w:val="0"/>
                <w:sz w:val="18"/>
              </w:rPr>
              <w:t>manova / mlm</w:t>
            </w:r>
          </w:p>
        </w:tc>
        <w:tc>
          <w:tcPr>
            <w:tcW w:type="dxa" w:w="7056"/>
          </w:tcPr>
          <w:p>
            <w:pPr>
              <w:spacing w:after="20"/>
            </w:pPr>
            <w:r/>
            <w:r>
              <w:rPr>
                <w:b w:val="0"/>
                <w:sz w:val="18"/>
              </w:rPr>
              <w:t>pvalue_cutoff = 0.05</w:t>
            </w:r>
          </w:p>
        </w:tc>
      </w:tr>
      <w:tr>
        <w:tc>
          <w:tcPr>
            <w:tcW w:type="dxa" w:w="2016"/>
          </w:tcPr>
          <w:p>
            <w:pPr>
              <w:spacing w:after="20"/>
            </w:pPr>
            <w:r/>
            <w:r>
              <w:rPr>
                <w:b w:val="0"/>
                <w:sz w:val="18"/>
              </w:rPr>
              <w:t>iForest</w:t>
            </w:r>
          </w:p>
        </w:tc>
        <w:tc>
          <w:tcPr>
            <w:tcW w:type="dxa" w:w="7056"/>
          </w:tcPr>
          <w:p>
            <w:pPr>
              <w:spacing w:after="20"/>
            </w:pPr>
            <w:r/>
            <w:r>
              <w:rPr>
                <w:b w:val="0"/>
                <w:sz w:val="18"/>
              </w:rPr>
              <w:t>outlier_score_cutoff = 0.7, ntrees = 100</w:t>
            </w:r>
          </w:p>
        </w:tc>
      </w:tr>
      <w:tr>
        <w:tc>
          <w:tcPr>
            <w:tcW w:type="dxa" w:w="2016"/>
          </w:tcPr>
          <w:p>
            <w:pPr>
              <w:spacing w:after="20"/>
            </w:pPr>
            <w:r/>
            <w:r>
              <w:rPr>
                <w:b w:val="0"/>
                <w:sz w:val="18"/>
              </w:rPr>
              <w:t>mahdist</w:t>
            </w:r>
          </w:p>
        </w:tc>
        <w:tc>
          <w:tcPr>
            <w:tcW w:type="dxa" w:w="7056"/>
          </w:tcPr>
          <w:p>
            <w:pPr>
              <w:spacing w:after="20"/>
            </w:pPr>
            <w:r/>
            <w:r>
              <w:rPr>
                <w:b w:val="0"/>
                <w:sz w:val="18"/>
              </w:rPr>
              <w:t>nsamp = "deterministic"</w:t>
            </w:r>
          </w:p>
        </w:tc>
      </w:tr>
    </w:tbl>
    <w:p>
      <w:pPr>
        <w:spacing w:after="60"/>
      </w:pPr>
    </w:p>
    <w:tbl>
      <w:tblPr>
        <w:tblStyle w:val="TableGrid"/>
        <w:tblW w:type="auto" w:w="0"/>
        <w:tblLook w:firstColumn="1" w:firstRow="1" w:lastColumn="0" w:lastRow="0" w:noHBand="0" w:noVBand="1" w:val="04A0"/>
      </w:tblPr>
      <w:tblGrid>
        <w:gridCol w:w="9648"/>
      </w:tblGrid>
      <w:tr>
        <w:tc>
          <w:tcPr>
            <w:tcW w:type="dxa" w:w="9648"/>
            <w:shd w:fill="E8EEF7"/>
          </w:tcPr>
          <w:p>
            <w:pPr>
              <w:spacing w:after="60"/>
            </w:pPr>
            <w:r/>
            <w:r>
              <w:rPr>
                <w:b/>
                <w:color w:val="1F3864"/>
                <w:sz w:val="20"/>
              </w:rPr>
              <w:t>The single most useful thing in the literature review</w:t>
            </w:r>
          </w:p>
          <w:p>
            <w:pPr>
              <w:spacing w:after="40"/>
            </w:pPr>
            <w:r>
              <w:rPr>
                <w:b/>
                <w:i w:val="0"/>
                <w:sz w:val="19"/>
              </w:rPr>
              <w:t>Both</w:t>
            </w:r>
            <w:r>
              <w:rPr>
                <w:b w:val="0"/>
                <w:i w:val="0"/>
                <w:sz w:val="19"/>
              </w:rPr>
              <w:t xml:space="preserve"> of the threshold-based methods ship a mandatory magnitude floor — 0.15 on the quantile method, 0.10 on the beta method. Neither will report a statistically extreme but biologically trivial measurement.</w:t>
              <w:br/>
              <w:br/>
              <w:t xml:space="preserve">And note the structure: epimutacions' quantile method </w:t>
            </w:r>
            <w:r>
              <w:rPr>
                <w:b/>
                <w:i w:val="0"/>
                <w:sz w:val="19"/>
              </w:rPr>
              <w:t>is the same rule as flagMeth</w:t>
            </w:r>
            <w:r>
              <w:rPr>
                <w:b w:val="0"/>
                <w:i w:val="0"/>
                <w:sz w:val="19"/>
              </w:rPr>
              <w:t xml:space="preserve"> — an empirical percentile of a reference panel — with one extra term. The entire difference between the two packages at that method is the absolute-difference floor. That is independent precedent for the fix this project arrived at from the data.</w:t>
            </w:r>
          </w:p>
        </w:tc>
      </w:tr>
    </w:tbl>
    <w:p>
      <w:pPr>
        <w:spacing w:after="80"/>
      </w:pPr>
    </w:p>
    <w:p>
      <w:r>
        <w:br w:type="page"/>
      </w:r>
    </w:p>
    <w:p>
      <w:pPr>
        <w:pStyle w:val="Heading1"/>
      </w:pPr>
      <w:r>
        <w:t>5. New ideas, tested</w:t>
      </w:r>
    </w:p>
    <w:p>
      <w:r>
        <w:rPr>
          <w:b w:val="0"/>
          <w:i w:val="0"/>
        </w:rPr>
        <w:t>With tuning ruled out, any fix has to add a term the package does not have. Five candidates were built and scored against each other at a single flag rate, so none of them can look better simply by flagging less.</w:t>
      </w:r>
    </w:p>
    <w:p>
      <w:pPr>
        <w:pStyle w:val="Heading2"/>
      </w:pPr>
      <w:r>
        <w:t>5.1  First: the noise level is now measured, not assumed</w:t>
      </w:r>
    </w:p>
    <w:p>
      <w:r>
        <w:rPr>
          <w:b w:val="0"/>
          <w:i w:val="0"/>
        </w:rPr>
        <w:t>Every stability figure this project has reported perturbs the data by a random amount with a standard deviation of 0.01, because that is what the literature says about this array's technical error. That was the one assumption the whole reproducibility argument rested on. Neighbouring probes replace it with a measurement: for two probes within 100 bp, whatever systematic difference exists between the two positions is the same in every sample and cancels, so what is left bounds the technical noise from above.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shd w:fill="1F3864"/>
          </w:tcPr>
          <w:p>
            <w:pPr>
              <w:spacing w:after="20"/>
            </w:pPr>
            <w:r/>
            <w:r>
              <w:rPr>
                <w:b/>
                <w:color w:val="FFFFFF"/>
                <w:sz w:val="18"/>
              </w:rPr>
              <w:t>probe pairs</w:t>
            </w:r>
          </w:p>
        </w:tc>
        <w:tc>
          <w:tcPr>
            <w:tcW w:type="dxa" w:w="1728"/>
            <w:shd w:fill="1F3864"/>
          </w:tcPr>
          <w:p>
            <w:pPr>
              <w:spacing w:after="20"/>
            </w:pPr>
            <w:r/>
            <w:r>
              <w:rPr>
                <w:b/>
                <w:color w:val="FFFFFF"/>
                <w:sz w:val="18"/>
              </w:rPr>
              <w:t>normal: tightest 10%</w:t>
            </w:r>
          </w:p>
        </w:tc>
        <w:tc>
          <w:tcPr>
            <w:tcW w:type="dxa" w:w="1728"/>
            <w:shd w:fill="1F3864"/>
          </w:tcPr>
          <w:p>
            <w:pPr>
              <w:spacing w:after="20"/>
            </w:pPr>
            <w:r/>
            <w:r>
              <w:rPr>
                <w:b/>
                <w:color w:val="FFFFFF"/>
                <w:sz w:val="18"/>
              </w:rPr>
              <w:t>normal: median</w:t>
            </w:r>
          </w:p>
        </w:tc>
        <w:tc>
          <w:tcPr>
            <w:tcW w:type="dxa" w:w="1728"/>
            <w:shd w:fill="1F3864"/>
          </w:tcPr>
          <w:p>
            <w:pPr>
              <w:spacing w:after="20"/>
            </w:pPr>
            <w:r/>
            <w:r>
              <w:rPr>
                <w:b/>
                <w:color w:val="FFFFFF"/>
                <w:sz w:val="18"/>
              </w:rPr>
              <w:t>tumour: tightest 10%</w:t>
            </w:r>
          </w:p>
        </w:tc>
        <w:tc>
          <w:tcPr>
            <w:tcW w:type="dxa" w:w="1728"/>
            <w:shd w:fill="1F3864"/>
          </w:tcPr>
          <w:p>
            <w:pPr>
              <w:spacing w:after="20"/>
            </w:pPr>
            <w:r/>
            <w:r>
              <w:rPr>
                <w:b/>
                <w:color w:val="FFFFFF"/>
                <w:sz w:val="18"/>
              </w:rPr>
              <w:t>tumour: median</w:t>
            </w:r>
          </w:p>
        </w:tc>
      </w:tr>
      <w:tr>
        <w:tc>
          <w:tcPr>
            <w:tcW w:type="dxa" w:w="2448"/>
          </w:tcPr>
          <w:p>
            <w:pPr>
              <w:spacing w:after="20"/>
            </w:pPr>
            <w:r/>
            <w:r>
              <w:rPr>
                <w:b w:val="0"/>
                <w:sz w:val="18"/>
              </w:rPr>
              <w:t>≤ 50 bp</w:t>
            </w:r>
          </w:p>
        </w:tc>
        <w:tc>
          <w:tcPr>
            <w:tcW w:type="dxa" w:w="1728"/>
          </w:tcPr>
          <w:p>
            <w:pPr>
              <w:spacing w:after="20"/>
            </w:pPr>
            <w:r/>
            <w:r>
              <w:rPr>
                <w:b w:val="0"/>
                <w:sz w:val="18"/>
              </w:rPr>
              <w:t>0.00248</w:t>
            </w:r>
          </w:p>
        </w:tc>
        <w:tc>
          <w:tcPr>
            <w:tcW w:type="dxa" w:w="1728"/>
          </w:tcPr>
          <w:p>
            <w:pPr>
              <w:spacing w:after="20"/>
            </w:pPr>
            <w:r/>
            <w:r>
              <w:rPr>
                <w:b w:val="0"/>
                <w:sz w:val="18"/>
              </w:rPr>
              <w:t>0.01290</w:t>
            </w:r>
          </w:p>
        </w:tc>
        <w:tc>
          <w:tcPr>
            <w:tcW w:type="dxa" w:w="1728"/>
          </w:tcPr>
          <w:p>
            <w:pPr>
              <w:spacing w:after="20"/>
            </w:pPr>
            <w:r/>
            <w:r>
              <w:rPr>
                <w:b w:val="0"/>
                <w:sz w:val="18"/>
              </w:rPr>
              <w:t>0.00301</w:t>
            </w:r>
          </w:p>
        </w:tc>
        <w:tc>
          <w:tcPr>
            <w:tcW w:type="dxa" w:w="1728"/>
          </w:tcPr>
          <w:p>
            <w:pPr>
              <w:spacing w:after="20"/>
            </w:pPr>
            <w:r/>
            <w:r>
              <w:rPr>
                <w:b w:val="0"/>
                <w:sz w:val="18"/>
              </w:rPr>
              <w:t>0.01580</w:t>
            </w:r>
          </w:p>
        </w:tc>
      </w:tr>
      <w:tr>
        <w:tc>
          <w:tcPr>
            <w:tcW w:type="dxa" w:w="2448"/>
            <w:shd w:fill="FFF2CC"/>
          </w:tcPr>
          <w:p>
            <w:pPr>
              <w:spacing w:after="20"/>
            </w:pPr>
            <w:r/>
            <w:r>
              <w:rPr>
                <w:b/>
                <w:sz w:val="18"/>
              </w:rPr>
              <w:t>≤ 100 bp</w:t>
            </w:r>
          </w:p>
        </w:tc>
        <w:tc>
          <w:tcPr>
            <w:tcW w:type="dxa" w:w="1728"/>
            <w:shd w:fill="FFF2CC"/>
          </w:tcPr>
          <w:p>
            <w:pPr>
              <w:spacing w:after="20"/>
            </w:pPr>
            <w:r/>
            <w:r>
              <w:rPr>
                <w:b w:val="0"/>
                <w:sz w:val="18"/>
              </w:rPr>
              <w:t>0.00289</w:t>
            </w:r>
          </w:p>
        </w:tc>
        <w:tc>
          <w:tcPr>
            <w:tcW w:type="dxa" w:w="1728"/>
            <w:shd w:fill="FFF2CC"/>
          </w:tcPr>
          <w:p>
            <w:pPr>
              <w:spacing w:after="20"/>
            </w:pPr>
            <w:r/>
            <w:r>
              <w:rPr>
                <w:b w:val="0"/>
                <w:sz w:val="18"/>
              </w:rPr>
              <w:t>0.01422</w:t>
            </w:r>
          </w:p>
        </w:tc>
        <w:tc>
          <w:tcPr>
            <w:tcW w:type="dxa" w:w="1728"/>
            <w:shd w:fill="FFF2CC"/>
          </w:tcPr>
          <w:p>
            <w:pPr>
              <w:spacing w:after="20"/>
            </w:pPr>
            <w:r/>
            <w:r>
              <w:rPr>
                <w:b w:val="0"/>
                <w:sz w:val="18"/>
              </w:rPr>
              <w:t>0.00355</w:t>
            </w:r>
          </w:p>
        </w:tc>
        <w:tc>
          <w:tcPr>
            <w:tcW w:type="dxa" w:w="1728"/>
            <w:shd w:fill="FFF2CC"/>
          </w:tcPr>
          <w:p>
            <w:pPr>
              <w:spacing w:after="20"/>
            </w:pPr>
            <w:r/>
            <w:r>
              <w:rPr>
                <w:b w:val="0"/>
                <w:sz w:val="18"/>
              </w:rPr>
              <w:t>0.01711</w:t>
            </w:r>
          </w:p>
        </w:tc>
      </w:tr>
      <w:tr>
        <w:tc>
          <w:tcPr>
            <w:tcW w:type="dxa" w:w="2448"/>
          </w:tcPr>
          <w:p>
            <w:pPr>
              <w:spacing w:after="20"/>
            </w:pPr>
            <w:r/>
            <w:r>
              <w:rPr>
                <w:b w:val="0"/>
                <w:sz w:val="18"/>
              </w:rPr>
              <w:t>≤ 200 bp</w:t>
            </w:r>
          </w:p>
        </w:tc>
        <w:tc>
          <w:tcPr>
            <w:tcW w:type="dxa" w:w="1728"/>
          </w:tcPr>
          <w:p>
            <w:pPr>
              <w:spacing w:after="20"/>
            </w:pPr>
            <w:r/>
            <w:r>
              <w:rPr>
                <w:b w:val="0"/>
                <w:sz w:val="18"/>
              </w:rPr>
              <w:t>0.00316</w:t>
            </w:r>
          </w:p>
        </w:tc>
        <w:tc>
          <w:tcPr>
            <w:tcW w:type="dxa" w:w="1728"/>
          </w:tcPr>
          <w:p>
            <w:pPr>
              <w:spacing w:after="20"/>
            </w:pPr>
            <w:r/>
            <w:r>
              <w:rPr>
                <w:b w:val="0"/>
                <w:sz w:val="18"/>
              </w:rPr>
              <w:t>0.01487</w:t>
            </w:r>
          </w:p>
        </w:tc>
        <w:tc>
          <w:tcPr>
            <w:tcW w:type="dxa" w:w="1728"/>
          </w:tcPr>
          <w:p>
            <w:pPr>
              <w:spacing w:after="20"/>
            </w:pPr>
            <w:r/>
            <w:r>
              <w:rPr>
                <w:b w:val="0"/>
                <w:sz w:val="18"/>
              </w:rPr>
              <w:t>0.00382</w:t>
            </w:r>
          </w:p>
        </w:tc>
        <w:tc>
          <w:tcPr>
            <w:tcW w:type="dxa" w:w="1728"/>
          </w:tcPr>
          <w:p>
            <w:pPr>
              <w:spacing w:after="20"/>
            </w:pPr>
            <w:r/>
            <w:r>
              <w:rPr>
                <w:b w:val="0"/>
                <w:sz w:val="18"/>
              </w:rPr>
              <w:t>0.01787</w:t>
            </w:r>
          </w:p>
        </w:tc>
      </w:tr>
      <w:tr>
        <w:tc>
          <w:tcPr>
            <w:tcW w:type="dxa" w:w="2448"/>
          </w:tcPr>
          <w:p>
            <w:pPr>
              <w:spacing w:after="20"/>
            </w:pPr>
            <w:r/>
            <w:r>
              <w:rPr>
                <w:b w:val="0"/>
                <w:sz w:val="18"/>
              </w:rPr>
              <w:t>≤ 500 bp</w:t>
            </w:r>
          </w:p>
        </w:tc>
        <w:tc>
          <w:tcPr>
            <w:tcW w:type="dxa" w:w="1728"/>
          </w:tcPr>
          <w:p>
            <w:pPr>
              <w:spacing w:after="20"/>
            </w:pPr>
            <w:r/>
            <w:r>
              <w:rPr>
                <w:b w:val="0"/>
                <w:sz w:val="18"/>
              </w:rPr>
              <w:t>0.00351</w:t>
            </w:r>
          </w:p>
        </w:tc>
        <w:tc>
          <w:tcPr>
            <w:tcW w:type="dxa" w:w="1728"/>
          </w:tcPr>
          <w:p>
            <w:pPr>
              <w:spacing w:after="20"/>
            </w:pPr>
            <w:r/>
            <w:r>
              <w:rPr>
                <w:b w:val="0"/>
                <w:sz w:val="18"/>
              </w:rPr>
              <w:t>0.01540</w:t>
            </w:r>
          </w:p>
        </w:tc>
        <w:tc>
          <w:tcPr>
            <w:tcW w:type="dxa" w:w="1728"/>
          </w:tcPr>
          <w:p>
            <w:pPr>
              <w:spacing w:after="20"/>
            </w:pPr>
            <w:r/>
            <w:r>
              <w:rPr>
                <w:b w:val="0"/>
                <w:sz w:val="18"/>
              </w:rPr>
              <w:t>0.00431</w:t>
            </w:r>
          </w:p>
        </w:tc>
        <w:tc>
          <w:tcPr>
            <w:tcW w:type="dxa" w:w="1728"/>
          </w:tcPr>
          <w:p>
            <w:pPr>
              <w:spacing w:after="20"/>
            </w:pPr>
            <w:r/>
            <w:r>
              <w:rPr>
                <w:b w:val="0"/>
                <w:sz w:val="18"/>
              </w:rPr>
              <w:t>0.01867</w:t>
            </w:r>
          </w:p>
        </w:tc>
      </w:tr>
      <w:tr>
        <w:tc>
          <w:tcPr>
            <w:tcW w:type="dxa" w:w="2448"/>
          </w:tcPr>
          <w:p>
            <w:pPr>
              <w:spacing w:after="20"/>
            </w:pPr>
            <w:r/>
            <w:r>
              <w:rPr>
                <w:b w:val="0"/>
                <w:sz w:val="18"/>
              </w:rPr>
              <w:t>distant (&gt;1 Mb, null)</w:t>
            </w:r>
          </w:p>
        </w:tc>
        <w:tc>
          <w:tcPr>
            <w:tcW w:type="dxa" w:w="1728"/>
          </w:tcPr>
          <w:p>
            <w:pPr>
              <w:spacing w:after="20"/>
            </w:pPr>
            <w:r/>
            <w:r>
              <w:rPr>
                <w:b w:val="0"/>
                <w:sz w:val="18"/>
              </w:rPr>
              <w:t>0.00805</w:t>
            </w:r>
          </w:p>
        </w:tc>
        <w:tc>
          <w:tcPr>
            <w:tcW w:type="dxa" w:w="1728"/>
          </w:tcPr>
          <w:p>
            <w:pPr>
              <w:spacing w:after="20"/>
            </w:pPr>
            <w:r/>
            <w:r>
              <w:rPr>
                <w:b w:val="0"/>
                <w:sz w:val="18"/>
              </w:rPr>
              <w:t>0.02238</w:t>
            </w:r>
          </w:p>
        </w:tc>
        <w:tc>
          <w:tcPr>
            <w:tcW w:type="dxa" w:w="1728"/>
          </w:tcPr>
          <w:p>
            <w:pPr>
              <w:spacing w:after="20"/>
            </w:pPr>
            <w:r/>
            <w:r>
              <w:rPr>
                <w:b w:val="0"/>
                <w:sz w:val="18"/>
              </w:rPr>
              <w:t>0.01071</w:t>
            </w:r>
          </w:p>
        </w:tc>
        <w:tc>
          <w:tcPr>
            <w:tcW w:type="dxa" w:w="1728"/>
          </w:tcPr>
          <w:p>
            <w:pPr>
              <w:spacing w:after="20"/>
            </w:pPr>
            <w:r/>
            <w:r>
              <w:rPr>
                <w:b w:val="0"/>
                <w:sz w:val="18"/>
              </w:rPr>
              <w:t>0.07886</w:t>
            </w:r>
          </w:p>
        </w:tc>
      </w:tr>
    </w:tbl>
    <w:p>
      <w:pPr>
        <w:spacing w:after="60"/>
      </w:pPr>
    </w:p>
    <w:p>
      <w:pPr>
        <w:spacing w:after="220"/>
      </w:pPr>
      <w:r>
        <w:rPr>
          <w:i/>
          <w:color w:val="606060"/>
          <w:sz w:val="16"/>
        </w:rPr>
        <w:t>chr22 · Results/Task32_MeasuredNoise.csv · Scripts/Task32.ImprovedFlagging.Sep03.2026.R</w:t>
      </w:r>
    </w:p>
    <w:p>
      <w:r>
        <w:rPr>
          <w:b w:val="0"/>
          <w:i w:val="0"/>
        </w:rPr>
        <w:t xml:space="preserve">Close pairs are about three times tighter than distant ones, so the bound is measuring probe-level noise rather than biology. </w:t>
      </w:r>
      <w:r>
        <w:rPr>
          <w:b/>
          <w:i w:val="0"/>
        </w:rPr>
        <w:t>The assumed 0.01 sits inside the measured range and is conservative relative to the median, so every previously reported stability result stands.</w:t>
      </w:r>
      <w:r>
        <w:rPr>
          <w:b w:val="0"/>
          <w:i w:val="0"/>
        </w:rPr>
        <w:t xml:space="preserve"> The caveat is that this bounds technical noise plus any genuine divergence between neighbouring probes, so it is an upper bound.</w:t>
      </w:r>
    </w:p>
    <w:p>
      <w:pPr>
        <w:pStyle w:val="Heading2"/>
      </w:pPr>
      <w:r>
        <w:t>5.2  The scores</w:t>
      </w:r>
    </w:p>
    <w:p>
      <w:r>
        <w:rPr>
          <w:b/>
          <w:i w:val="0"/>
        </w:rPr>
        <w:t>Normal tissue</w:t>
      </w:r>
      <w:r>
        <w:rPr>
          <w:b w:val="0"/>
          <w:i w:val="0"/>
        </w:rPr>
        <w:t xml:space="preserve"> — all rows at 1.031% flag rate except those marked †.</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3744"/>
            <w:shd w:fill="1F3864"/>
          </w:tcPr>
          <w:p>
            <w:pPr>
              <w:spacing w:after="20"/>
            </w:pPr>
            <w:r/>
            <w:r>
              <w:rPr>
                <w:b/>
                <w:color w:val="FFFFFF"/>
                <w:sz w:val="17"/>
              </w:rPr>
              <w:t>method</w:t>
            </w:r>
          </w:p>
        </w:tc>
        <w:tc>
          <w:tcPr>
            <w:tcW w:type="dxa" w:w="864"/>
            <w:shd w:fill="1F3864"/>
          </w:tcPr>
          <w:p>
            <w:pPr>
              <w:spacing w:after="20"/>
            </w:pPr>
            <w:r/>
            <w:r>
              <w:rPr>
                <w:b/>
                <w:color w:val="FFFFFF"/>
                <w:sz w:val="17"/>
              </w:rPr>
              <w:t>rate</w:t>
            </w:r>
          </w:p>
        </w:tc>
        <w:tc>
          <w:tcPr>
            <w:tcW w:type="dxa" w:w="1152"/>
            <w:shd w:fill="1F3864"/>
          </w:tcPr>
          <w:p>
            <w:pPr>
              <w:spacing w:after="20"/>
            </w:pPr>
            <w:r/>
            <w:r>
              <w:rPr>
                <w:b/>
                <w:color w:val="FFFFFF"/>
                <w:sz w:val="17"/>
              </w:rPr>
              <w:t>stability</w:t>
            </w:r>
          </w:p>
        </w:tc>
        <w:tc>
          <w:tcPr>
            <w:tcW w:type="dxa" w:w="1440"/>
            <w:shd w:fill="1F3864"/>
          </w:tcPr>
          <w:p>
            <w:pPr>
              <w:spacing w:after="20"/>
            </w:pPr>
            <w:r/>
            <w:r>
              <w:rPr>
                <w:b/>
                <w:color w:val="FFFFFF"/>
                <w:sz w:val="17"/>
              </w:rPr>
              <w:t>median beta shift</w:t>
            </w:r>
          </w:p>
        </w:tc>
        <w:tc>
          <w:tcPr>
            <w:tcW w:type="dxa" w:w="1152"/>
            <w:shd w:fill="1F3864"/>
          </w:tcPr>
          <w:p>
            <w:pPr>
              <w:spacing w:after="20"/>
            </w:pPr>
            <w:r/>
            <w:r>
              <w:rPr>
                <w:b/>
                <w:color w:val="FFFFFF"/>
                <w:sz w:val="17"/>
              </w:rPr>
              <w:t>trivial flags</w:t>
            </w:r>
          </w:p>
        </w:tc>
        <w:tc>
          <w:tcPr>
            <w:tcW w:type="dxa" w:w="1296"/>
            <w:shd w:fill="1F3864"/>
          </w:tcPr>
          <w:p>
            <w:pPr>
              <w:spacing w:after="20"/>
            </w:pPr>
            <w:r/>
            <w:r>
              <w:rPr>
                <w:b/>
                <w:color w:val="FFFFFF"/>
                <w:sz w:val="17"/>
              </w:rPr>
              <w:t>contrary flags</w:t>
            </w:r>
          </w:p>
        </w:tc>
      </w:tr>
      <w:tr>
        <w:tc>
          <w:tcPr>
            <w:tcW w:type="dxa" w:w="3744"/>
            <w:shd w:fill="FFF2CC"/>
          </w:tcPr>
          <w:p>
            <w:pPr>
              <w:spacing w:after="20"/>
            </w:pPr>
            <w:r/>
            <w:r>
              <w:rPr>
                <w:b w:val="0"/>
                <w:sz w:val="17"/>
              </w:rPr>
              <w:t>+ floor at 0.10</w:t>
            </w:r>
          </w:p>
        </w:tc>
        <w:tc>
          <w:tcPr>
            <w:tcW w:type="dxa" w:w="864"/>
            <w:shd w:fill="FFF2CC"/>
          </w:tcPr>
          <w:p>
            <w:pPr>
              <w:spacing w:after="20"/>
            </w:pPr>
            <w:r/>
            <w:r>
              <w:rPr>
                <w:b w:val="0"/>
                <w:sz w:val="17"/>
              </w:rPr>
              <w:t>1.031</w:t>
            </w:r>
          </w:p>
        </w:tc>
        <w:tc>
          <w:tcPr>
            <w:tcW w:type="dxa" w:w="1152"/>
            <w:shd w:fill="FFF2CC"/>
          </w:tcPr>
          <w:p>
            <w:pPr>
              <w:spacing w:after="20"/>
            </w:pPr>
            <w:r/>
            <w:r>
              <w:rPr>
                <w:b w:val="0"/>
                <w:sz w:val="17"/>
              </w:rPr>
              <w:t>0.7928</w:t>
            </w:r>
          </w:p>
        </w:tc>
        <w:tc>
          <w:tcPr>
            <w:tcW w:type="dxa" w:w="1440"/>
            <w:shd w:fill="FFF2CC"/>
          </w:tcPr>
          <w:p>
            <w:pPr>
              <w:spacing w:after="20"/>
            </w:pPr>
            <w:r/>
            <w:r>
              <w:rPr>
                <w:b w:val="0"/>
                <w:sz w:val="17"/>
              </w:rPr>
              <w:t>0.153</w:t>
            </w:r>
          </w:p>
        </w:tc>
        <w:tc>
          <w:tcPr>
            <w:tcW w:type="dxa" w:w="1152"/>
            <w:shd w:fill="FFF2CC"/>
          </w:tcPr>
          <w:p>
            <w:pPr>
              <w:spacing w:after="20"/>
            </w:pPr>
            <w:r/>
            <w:r>
              <w:rPr>
                <w:b w:val="0"/>
                <w:sz w:val="17"/>
              </w:rPr>
              <w:t>0%</w:t>
            </w:r>
          </w:p>
        </w:tc>
        <w:tc>
          <w:tcPr>
            <w:tcW w:type="dxa" w:w="1296"/>
            <w:shd w:fill="FFF2CC"/>
          </w:tcPr>
          <w:p>
            <w:pPr>
              <w:spacing w:after="20"/>
            </w:pPr>
            <w:r/>
            <w:r>
              <w:rPr>
                <w:b/>
                <w:sz w:val="17"/>
              </w:rPr>
              <w:t>20.97%</w:t>
            </w:r>
          </w:p>
        </w:tc>
      </w:tr>
      <w:tr>
        <w:tc>
          <w:tcPr>
            <w:tcW w:type="dxa" w:w="3744"/>
          </w:tcPr>
          <w:p>
            <w:pPr>
              <w:spacing w:after="20"/>
            </w:pPr>
            <w:r/>
            <w:r>
              <w:rPr>
                <w:b w:val="0"/>
                <w:sz w:val="17"/>
              </w:rPr>
              <w:t>+ per-state calibrated floor</w:t>
            </w:r>
          </w:p>
        </w:tc>
        <w:tc>
          <w:tcPr>
            <w:tcW w:type="dxa" w:w="864"/>
          </w:tcPr>
          <w:p>
            <w:pPr>
              <w:spacing w:after="20"/>
            </w:pPr>
            <w:r/>
            <w:r>
              <w:rPr>
                <w:b w:val="0"/>
                <w:sz w:val="17"/>
              </w:rPr>
              <w:t>1.031</w:t>
            </w:r>
          </w:p>
        </w:tc>
        <w:tc>
          <w:tcPr>
            <w:tcW w:type="dxa" w:w="1152"/>
          </w:tcPr>
          <w:p>
            <w:pPr>
              <w:spacing w:after="20"/>
            </w:pPr>
            <w:r/>
            <w:r>
              <w:rPr>
                <w:b w:val="0"/>
                <w:sz w:val="17"/>
              </w:rPr>
              <w:t>0.7808</w:t>
            </w:r>
          </w:p>
        </w:tc>
        <w:tc>
          <w:tcPr>
            <w:tcW w:type="dxa" w:w="1440"/>
          </w:tcPr>
          <w:p>
            <w:pPr>
              <w:spacing w:after="20"/>
            </w:pPr>
            <w:r/>
            <w:r>
              <w:rPr>
                <w:b w:val="0"/>
                <w:sz w:val="17"/>
              </w:rPr>
              <w:t>0.1219</w:t>
            </w:r>
          </w:p>
        </w:tc>
        <w:tc>
          <w:tcPr>
            <w:tcW w:type="dxa" w:w="1152"/>
          </w:tcPr>
          <w:p>
            <w:pPr>
              <w:spacing w:after="20"/>
            </w:pPr>
            <w:r/>
            <w:r>
              <w:rPr>
                <w:b w:val="0"/>
                <w:sz w:val="17"/>
              </w:rPr>
              <w:t>38.55%</w:t>
            </w:r>
          </w:p>
        </w:tc>
        <w:tc>
          <w:tcPr>
            <w:tcW w:type="dxa" w:w="1296"/>
          </w:tcPr>
          <w:p>
            <w:pPr>
              <w:spacing w:after="20"/>
            </w:pPr>
            <w:r/>
            <w:r>
              <w:rPr>
                <w:b/>
                <w:sz w:val="17"/>
              </w:rPr>
              <w:t>14.92%</w:t>
            </w:r>
          </w:p>
        </w:tc>
      </w:tr>
      <w:tr>
        <w:tc>
          <w:tcPr>
            <w:tcW w:type="dxa" w:w="3744"/>
          </w:tcPr>
          <w:p>
            <w:pPr>
              <w:spacing w:after="20"/>
            </w:pPr>
            <w:r/>
            <w:r>
              <w:rPr>
                <w:b w:val="0"/>
                <w:sz w:val="17"/>
              </w:rPr>
              <w:t xml:space="preserve">bio-stat, deviation — </w:t>
            </w:r>
            <w:r>
              <w:rPr>
                <w:b/>
                <w:sz w:val="17"/>
              </w:rPr>
              <w:t>no reference panel at all</w:t>
            </w:r>
          </w:p>
        </w:tc>
        <w:tc>
          <w:tcPr>
            <w:tcW w:type="dxa" w:w="864"/>
          </w:tcPr>
          <w:p>
            <w:pPr>
              <w:spacing w:after="20"/>
            </w:pPr>
            <w:r/>
            <w:r>
              <w:rPr>
                <w:b w:val="0"/>
                <w:sz w:val="17"/>
              </w:rPr>
              <w:t>1.031</w:t>
            </w:r>
          </w:p>
        </w:tc>
        <w:tc>
          <w:tcPr>
            <w:tcW w:type="dxa" w:w="1152"/>
          </w:tcPr>
          <w:p>
            <w:pPr>
              <w:spacing w:after="20"/>
            </w:pPr>
            <w:r/>
            <w:r>
              <w:rPr>
                <w:b w:val="0"/>
                <w:sz w:val="17"/>
              </w:rPr>
              <w:t>0.7787</w:t>
            </w:r>
          </w:p>
        </w:tc>
        <w:tc>
          <w:tcPr>
            <w:tcW w:type="dxa" w:w="1440"/>
          </w:tcPr>
          <w:p>
            <w:pPr>
              <w:spacing w:after="20"/>
            </w:pPr>
            <w:r/>
            <w:r>
              <w:rPr>
                <w:b w:val="0"/>
                <w:sz w:val="17"/>
              </w:rPr>
              <w:t>0.197</w:t>
            </w:r>
          </w:p>
        </w:tc>
        <w:tc>
          <w:tcPr>
            <w:tcW w:type="dxa" w:w="1152"/>
          </w:tcPr>
          <w:p>
            <w:pPr>
              <w:spacing w:after="20"/>
            </w:pPr>
            <w:r/>
            <w:r>
              <w:rPr>
                <w:b w:val="0"/>
                <w:sz w:val="17"/>
              </w:rPr>
              <w:t>18.2%</w:t>
            </w:r>
          </w:p>
        </w:tc>
        <w:tc>
          <w:tcPr>
            <w:tcW w:type="dxa" w:w="1296"/>
          </w:tcPr>
          <w:p>
            <w:pPr>
              <w:spacing w:after="20"/>
            </w:pPr>
            <w:r/>
            <w:r>
              <w:rPr>
                <w:b/>
                <w:sz w:val="17"/>
              </w:rPr>
              <w:t>0%</w:t>
            </w:r>
          </w:p>
        </w:tc>
      </w:tr>
      <w:tr>
        <w:tc>
          <w:tcPr>
            <w:tcW w:type="dxa" w:w="3744"/>
          </w:tcPr>
          <w:p>
            <w:pPr>
              <w:spacing w:after="20"/>
            </w:pPr>
            <w:r/>
            <w:r>
              <w:rPr>
                <w:b w:val="0"/>
                <w:sz w:val="17"/>
              </w:rPr>
              <w:t>+ floor at 0.05 (proposed in the email)</w:t>
            </w:r>
          </w:p>
        </w:tc>
        <w:tc>
          <w:tcPr>
            <w:tcW w:type="dxa" w:w="864"/>
          </w:tcPr>
          <w:p>
            <w:pPr>
              <w:spacing w:after="20"/>
            </w:pPr>
            <w:r/>
            <w:r>
              <w:rPr>
                <w:b w:val="0"/>
                <w:sz w:val="17"/>
              </w:rPr>
              <w:t>1.693 †</w:t>
            </w:r>
          </w:p>
        </w:tc>
        <w:tc>
          <w:tcPr>
            <w:tcW w:type="dxa" w:w="1152"/>
          </w:tcPr>
          <w:p>
            <w:pPr>
              <w:spacing w:after="20"/>
            </w:pPr>
            <w:r/>
            <w:r>
              <w:rPr>
                <w:b w:val="0"/>
                <w:sz w:val="17"/>
              </w:rPr>
              <w:t>0.7479</w:t>
            </w:r>
          </w:p>
        </w:tc>
        <w:tc>
          <w:tcPr>
            <w:tcW w:type="dxa" w:w="1440"/>
          </w:tcPr>
          <w:p>
            <w:pPr>
              <w:spacing w:after="20"/>
            </w:pPr>
            <w:r/>
            <w:r>
              <w:rPr>
                <w:b w:val="0"/>
                <w:sz w:val="17"/>
              </w:rPr>
              <w:t>0.1149</w:t>
            </w:r>
          </w:p>
        </w:tc>
        <w:tc>
          <w:tcPr>
            <w:tcW w:type="dxa" w:w="1152"/>
          </w:tcPr>
          <w:p>
            <w:pPr>
              <w:spacing w:after="20"/>
            </w:pPr>
            <w:r/>
            <w:r>
              <w:rPr>
                <w:b w:val="0"/>
                <w:sz w:val="17"/>
              </w:rPr>
              <w:t>39.11%</w:t>
            </w:r>
          </w:p>
        </w:tc>
        <w:tc>
          <w:tcPr>
            <w:tcW w:type="dxa" w:w="1296"/>
          </w:tcPr>
          <w:p>
            <w:pPr>
              <w:spacing w:after="20"/>
            </w:pPr>
            <w:r/>
            <w:r>
              <w:rPr>
                <w:b/>
                <w:sz w:val="17"/>
              </w:rPr>
              <w:t>28.01%</w:t>
            </w:r>
          </w:p>
        </w:tc>
      </w:tr>
      <w:tr>
        <w:tc>
          <w:tcPr>
            <w:tcW w:type="dxa" w:w="3744"/>
          </w:tcPr>
          <w:p>
            <w:pPr>
              <w:spacing w:after="20"/>
            </w:pPr>
            <w:r/>
            <w:r>
              <w:rPr>
                <w:b w:val="0"/>
                <w:sz w:val="17"/>
              </w:rPr>
              <w:t>+ floor on distance to threshold (deltMeth)</w:t>
            </w:r>
          </w:p>
        </w:tc>
        <w:tc>
          <w:tcPr>
            <w:tcW w:type="dxa" w:w="864"/>
          </w:tcPr>
          <w:p>
            <w:pPr>
              <w:spacing w:after="20"/>
            </w:pPr>
            <w:r/>
            <w:r>
              <w:rPr>
                <w:b w:val="0"/>
                <w:sz w:val="17"/>
              </w:rPr>
              <w:t>1.031</w:t>
            </w:r>
          </w:p>
        </w:tc>
        <w:tc>
          <w:tcPr>
            <w:tcW w:type="dxa" w:w="1152"/>
          </w:tcPr>
          <w:p>
            <w:pPr>
              <w:spacing w:after="20"/>
            </w:pPr>
            <w:r/>
            <w:r>
              <w:rPr>
                <w:b w:val="0"/>
                <w:sz w:val="17"/>
              </w:rPr>
              <w:t>0.6487</w:t>
            </w:r>
          </w:p>
        </w:tc>
        <w:tc>
          <w:tcPr>
            <w:tcW w:type="dxa" w:w="1440"/>
          </w:tcPr>
          <w:p>
            <w:pPr>
              <w:spacing w:after="20"/>
            </w:pPr>
            <w:r/>
            <w:r>
              <w:rPr>
                <w:b w:val="0"/>
                <w:sz w:val="17"/>
              </w:rPr>
              <w:t>0.1372</w:t>
            </w:r>
          </w:p>
        </w:tc>
        <w:tc>
          <w:tcPr>
            <w:tcW w:type="dxa" w:w="1152"/>
          </w:tcPr>
          <w:p>
            <w:pPr>
              <w:spacing w:after="20"/>
            </w:pPr>
            <w:r/>
            <w:r>
              <w:rPr>
                <w:b w:val="0"/>
                <w:sz w:val="17"/>
              </w:rPr>
              <w:t>25.51%</w:t>
            </w:r>
          </w:p>
        </w:tc>
        <w:tc>
          <w:tcPr>
            <w:tcW w:type="dxa" w:w="1296"/>
          </w:tcPr>
          <w:p>
            <w:pPr>
              <w:spacing w:after="20"/>
            </w:pPr>
            <w:r/>
            <w:r>
              <w:rPr>
                <w:b/>
                <w:sz w:val="17"/>
              </w:rPr>
              <w:t>17.23%</w:t>
            </w:r>
          </w:p>
        </w:tc>
      </w:tr>
      <w:tr>
        <w:tc>
          <w:tcPr>
            <w:tcW w:type="dxa" w:w="3744"/>
          </w:tcPr>
          <w:p>
            <w:pPr>
              <w:spacing w:after="20"/>
            </w:pPr>
            <w:r/>
            <w:r>
              <w:rPr>
                <w:b w:val="0"/>
                <w:sz w:val="17"/>
              </w:rPr>
              <w:t>+ floor scaled by measured noise</w:t>
            </w:r>
          </w:p>
        </w:tc>
        <w:tc>
          <w:tcPr>
            <w:tcW w:type="dxa" w:w="864"/>
          </w:tcPr>
          <w:p>
            <w:pPr>
              <w:spacing w:after="20"/>
            </w:pPr>
            <w:r/>
            <w:r>
              <w:rPr>
                <w:b w:val="0"/>
                <w:sz w:val="17"/>
              </w:rPr>
              <w:t>1.031</w:t>
            </w:r>
          </w:p>
        </w:tc>
        <w:tc>
          <w:tcPr>
            <w:tcW w:type="dxa" w:w="1152"/>
          </w:tcPr>
          <w:p>
            <w:pPr>
              <w:spacing w:after="20"/>
            </w:pPr>
            <w:r/>
            <w:r>
              <w:rPr>
                <w:b w:val="0"/>
                <w:sz w:val="17"/>
              </w:rPr>
              <w:t>0.5837</w:t>
            </w:r>
          </w:p>
        </w:tc>
        <w:tc>
          <w:tcPr>
            <w:tcW w:type="dxa" w:w="1440"/>
          </w:tcPr>
          <w:p>
            <w:pPr>
              <w:spacing w:after="20"/>
            </w:pPr>
            <w:r/>
            <w:r>
              <w:rPr>
                <w:b w:val="0"/>
                <w:sz w:val="17"/>
              </w:rPr>
              <w:t>0.1092</w:t>
            </w:r>
          </w:p>
        </w:tc>
        <w:tc>
          <w:tcPr>
            <w:tcW w:type="dxa" w:w="1152"/>
          </w:tcPr>
          <w:p>
            <w:pPr>
              <w:spacing w:after="20"/>
            </w:pPr>
            <w:r/>
            <w:r>
              <w:rPr>
                <w:b w:val="0"/>
                <w:sz w:val="17"/>
              </w:rPr>
              <w:t>43.9%</w:t>
            </w:r>
          </w:p>
        </w:tc>
        <w:tc>
          <w:tcPr>
            <w:tcW w:type="dxa" w:w="1296"/>
          </w:tcPr>
          <w:p>
            <w:pPr>
              <w:spacing w:after="20"/>
            </w:pPr>
            <w:r/>
            <w:r>
              <w:rPr>
                <w:b/>
                <w:sz w:val="17"/>
              </w:rPr>
              <w:t>15.7%</w:t>
            </w:r>
          </w:p>
        </w:tc>
      </w:tr>
      <w:tr>
        <w:tc>
          <w:tcPr>
            <w:tcW w:type="dxa" w:w="3744"/>
          </w:tcPr>
          <w:p>
            <w:pPr>
              <w:spacing w:after="20"/>
            </w:pPr>
            <w:r/>
            <w:r>
              <w:rPr>
                <w:b w:val="0"/>
                <w:sz w:val="17"/>
              </w:rPr>
              <w:t>median ± k·MAD on beta</w:t>
            </w:r>
          </w:p>
        </w:tc>
        <w:tc>
          <w:tcPr>
            <w:tcW w:type="dxa" w:w="864"/>
          </w:tcPr>
          <w:p>
            <w:pPr>
              <w:spacing w:after="20"/>
            </w:pPr>
            <w:r/>
            <w:r>
              <w:rPr>
                <w:b w:val="0"/>
                <w:sz w:val="17"/>
              </w:rPr>
              <w:t>1.031</w:t>
            </w:r>
          </w:p>
        </w:tc>
        <w:tc>
          <w:tcPr>
            <w:tcW w:type="dxa" w:w="1152"/>
          </w:tcPr>
          <w:p>
            <w:pPr>
              <w:spacing w:after="20"/>
            </w:pPr>
            <w:r/>
            <w:r>
              <w:rPr>
                <w:b w:val="0"/>
                <w:sz w:val="17"/>
              </w:rPr>
              <w:t>0.4293</w:t>
            </w:r>
          </w:p>
        </w:tc>
        <w:tc>
          <w:tcPr>
            <w:tcW w:type="dxa" w:w="1440"/>
          </w:tcPr>
          <w:p>
            <w:pPr>
              <w:spacing w:after="20"/>
            </w:pPr>
            <w:r/>
            <w:r>
              <w:rPr>
                <w:b w:val="0"/>
                <w:sz w:val="17"/>
              </w:rPr>
              <w:t>0.0961</w:t>
            </w:r>
          </w:p>
        </w:tc>
        <w:tc>
          <w:tcPr>
            <w:tcW w:type="dxa" w:w="1152"/>
          </w:tcPr>
          <w:p>
            <w:pPr>
              <w:spacing w:after="20"/>
            </w:pPr>
            <w:r/>
            <w:r>
              <w:rPr>
                <w:b w:val="0"/>
                <w:sz w:val="17"/>
              </w:rPr>
              <w:t>53.31%</w:t>
            </w:r>
          </w:p>
        </w:tc>
        <w:tc>
          <w:tcPr>
            <w:tcW w:type="dxa" w:w="1296"/>
          </w:tcPr>
          <w:p>
            <w:pPr>
              <w:spacing w:after="20"/>
            </w:pPr>
            <w:r/>
            <w:r>
              <w:rPr>
                <w:b/>
                <w:sz w:val="17"/>
              </w:rPr>
              <w:t>0.11%</w:t>
            </w:r>
          </w:p>
        </w:tc>
      </w:tr>
      <w:tr>
        <w:tc>
          <w:tcPr>
            <w:tcW w:type="dxa" w:w="3744"/>
          </w:tcPr>
          <w:p>
            <w:pPr>
              <w:spacing w:after="20"/>
            </w:pPr>
            <w:r/>
            <w:r>
              <w:rPr>
                <w:b w:val="0"/>
                <w:sz w:val="17"/>
              </w:rPr>
              <w:t>external reference, as published</w:t>
            </w:r>
          </w:p>
        </w:tc>
        <w:tc>
          <w:tcPr>
            <w:tcW w:type="dxa" w:w="864"/>
          </w:tcPr>
          <w:p>
            <w:pPr>
              <w:spacing w:after="20"/>
            </w:pPr>
            <w:r/>
            <w:r>
              <w:rPr>
                <w:b w:val="0"/>
                <w:sz w:val="17"/>
              </w:rPr>
              <w:t>2.673 †</w:t>
            </w:r>
          </w:p>
        </w:tc>
        <w:tc>
          <w:tcPr>
            <w:tcW w:type="dxa" w:w="1152"/>
          </w:tcPr>
          <w:p>
            <w:pPr>
              <w:spacing w:after="20"/>
            </w:pPr>
            <w:r/>
            <w:r>
              <w:rPr>
                <w:b w:val="0"/>
                <w:sz w:val="17"/>
              </w:rPr>
              <w:t>0.3288</w:t>
            </w:r>
          </w:p>
        </w:tc>
        <w:tc>
          <w:tcPr>
            <w:tcW w:type="dxa" w:w="1440"/>
          </w:tcPr>
          <w:p>
            <w:pPr>
              <w:spacing w:after="20"/>
            </w:pPr>
            <w:r/>
            <w:r>
              <w:rPr>
                <w:b w:val="0"/>
                <w:sz w:val="17"/>
              </w:rPr>
              <w:t>0.078</w:t>
            </w:r>
          </w:p>
        </w:tc>
        <w:tc>
          <w:tcPr>
            <w:tcW w:type="dxa" w:w="1152"/>
          </w:tcPr>
          <w:p>
            <w:pPr>
              <w:spacing w:after="20"/>
            </w:pPr>
            <w:r/>
            <w:r>
              <w:rPr>
                <w:b w:val="0"/>
                <w:sz w:val="17"/>
              </w:rPr>
              <w:t>61.45%</w:t>
            </w:r>
          </w:p>
        </w:tc>
        <w:tc>
          <w:tcPr>
            <w:tcW w:type="dxa" w:w="1296"/>
          </w:tcPr>
          <w:p>
            <w:pPr>
              <w:spacing w:after="20"/>
            </w:pPr>
            <w:r/>
            <w:r>
              <w:rPr>
                <w:b/>
                <w:sz w:val="17"/>
              </w:rPr>
              <w:t>52.91%</w:t>
            </w:r>
          </w:p>
        </w:tc>
      </w:tr>
      <w:tr>
        <w:tc>
          <w:tcPr>
            <w:tcW w:type="dxa" w:w="3744"/>
          </w:tcPr>
          <w:p>
            <w:pPr>
              <w:spacing w:after="20"/>
            </w:pPr>
            <w:r/>
            <w:r>
              <w:rPr>
                <w:b w:val="0"/>
                <w:sz w:val="17"/>
              </w:rPr>
              <w:t>median ± k·MAD on the angular transform</w:t>
            </w:r>
          </w:p>
        </w:tc>
        <w:tc>
          <w:tcPr>
            <w:tcW w:type="dxa" w:w="864"/>
          </w:tcPr>
          <w:p>
            <w:pPr>
              <w:spacing w:after="20"/>
            </w:pPr>
            <w:r/>
            <w:r>
              <w:rPr>
                <w:b w:val="0"/>
                <w:sz w:val="17"/>
              </w:rPr>
              <w:t>1.031</w:t>
            </w:r>
          </w:p>
        </w:tc>
        <w:tc>
          <w:tcPr>
            <w:tcW w:type="dxa" w:w="1152"/>
          </w:tcPr>
          <w:p>
            <w:pPr>
              <w:spacing w:after="20"/>
            </w:pPr>
            <w:r/>
            <w:r>
              <w:rPr>
                <w:b w:val="0"/>
                <w:sz w:val="17"/>
              </w:rPr>
              <w:t>0.3261</w:t>
            </w:r>
          </w:p>
        </w:tc>
        <w:tc>
          <w:tcPr>
            <w:tcW w:type="dxa" w:w="1440"/>
          </w:tcPr>
          <w:p>
            <w:pPr>
              <w:spacing w:after="20"/>
            </w:pPr>
            <w:r/>
            <w:r>
              <w:rPr>
                <w:b w:val="0"/>
                <w:sz w:val="17"/>
              </w:rPr>
              <w:t>0.0965</w:t>
            </w:r>
          </w:p>
        </w:tc>
        <w:tc>
          <w:tcPr>
            <w:tcW w:type="dxa" w:w="1152"/>
          </w:tcPr>
          <w:p>
            <w:pPr>
              <w:spacing w:after="20"/>
            </w:pPr>
            <w:r/>
            <w:r>
              <w:rPr>
                <w:b w:val="0"/>
                <w:sz w:val="17"/>
              </w:rPr>
              <w:t>52.68%</w:t>
            </w:r>
          </w:p>
        </w:tc>
        <w:tc>
          <w:tcPr>
            <w:tcW w:type="dxa" w:w="1296"/>
          </w:tcPr>
          <w:p>
            <w:pPr>
              <w:spacing w:after="20"/>
            </w:pPr>
            <w:r/>
            <w:r>
              <w:rPr>
                <w:b/>
                <w:sz w:val="17"/>
              </w:rPr>
              <w:t>2.45%</w:t>
            </w:r>
          </w:p>
        </w:tc>
      </w:tr>
      <w:tr>
        <w:tc>
          <w:tcPr>
            <w:tcW w:type="dxa" w:w="3744"/>
          </w:tcPr>
          <w:p>
            <w:pPr>
              <w:spacing w:after="20"/>
            </w:pPr>
            <w:r/>
            <w:r>
              <w:rPr>
                <w:b w:val="0"/>
                <w:sz w:val="17"/>
              </w:rPr>
              <w:t>median ± k·MAD on M-values</w:t>
            </w:r>
          </w:p>
        </w:tc>
        <w:tc>
          <w:tcPr>
            <w:tcW w:type="dxa" w:w="864"/>
          </w:tcPr>
          <w:p>
            <w:pPr>
              <w:spacing w:after="20"/>
            </w:pPr>
            <w:r/>
            <w:r>
              <w:rPr>
                <w:b w:val="0"/>
                <w:sz w:val="17"/>
              </w:rPr>
              <w:t>1.031</w:t>
            </w:r>
          </w:p>
        </w:tc>
        <w:tc>
          <w:tcPr>
            <w:tcW w:type="dxa" w:w="1152"/>
          </w:tcPr>
          <w:p>
            <w:pPr>
              <w:spacing w:after="20"/>
            </w:pPr>
            <w:r/>
            <w:r>
              <w:rPr>
                <w:b w:val="0"/>
                <w:sz w:val="17"/>
              </w:rPr>
              <w:t>0.1919</w:t>
            </w:r>
          </w:p>
        </w:tc>
        <w:tc>
          <w:tcPr>
            <w:tcW w:type="dxa" w:w="1440"/>
          </w:tcPr>
          <w:p>
            <w:pPr>
              <w:spacing w:after="20"/>
            </w:pPr>
            <w:r/>
            <w:r>
              <w:rPr>
                <w:b w:val="0"/>
                <w:sz w:val="17"/>
              </w:rPr>
              <w:t>0.1046</w:t>
            </w:r>
          </w:p>
        </w:tc>
        <w:tc>
          <w:tcPr>
            <w:tcW w:type="dxa" w:w="1152"/>
          </w:tcPr>
          <w:p>
            <w:pPr>
              <w:spacing w:after="20"/>
            </w:pPr>
            <w:r/>
            <w:r>
              <w:rPr>
                <w:b w:val="0"/>
                <w:sz w:val="17"/>
              </w:rPr>
              <w:t>46.68%</w:t>
            </w:r>
          </w:p>
        </w:tc>
        <w:tc>
          <w:tcPr>
            <w:tcW w:type="dxa" w:w="1296"/>
          </w:tcPr>
          <w:p>
            <w:pPr>
              <w:spacing w:after="20"/>
            </w:pPr>
            <w:r/>
            <w:r>
              <w:rPr>
                <w:b/>
                <w:sz w:val="17"/>
              </w:rPr>
              <w:t>12.13%</w:t>
            </w:r>
          </w:p>
        </w:tc>
      </w:tr>
    </w:tbl>
    <w:p>
      <w:pPr>
        <w:spacing w:after="60"/>
      </w:pPr>
    </w:p>
    <w:p>
      <w:r>
        <w:rPr>
          <w:b/>
          <w:i w:val="0"/>
        </w:rPr>
        <w:t>Tumour</w:t>
      </w:r>
      <w:r>
        <w:rPr>
          <w:b w:val="0"/>
          <w:i w:val="0"/>
        </w:rPr>
        <w:t xml:space="preserve"> — all rows at 6.272% flag rate except those marked †.</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3744"/>
            <w:shd w:fill="1F3864"/>
          </w:tcPr>
          <w:p>
            <w:pPr>
              <w:spacing w:after="20"/>
            </w:pPr>
            <w:r/>
            <w:r>
              <w:rPr>
                <w:b/>
                <w:color w:val="FFFFFF"/>
                <w:sz w:val="17"/>
              </w:rPr>
              <w:t>method</w:t>
            </w:r>
          </w:p>
        </w:tc>
        <w:tc>
          <w:tcPr>
            <w:tcW w:type="dxa" w:w="864"/>
            <w:shd w:fill="1F3864"/>
          </w:tcPr>
          <w:p>
            <w:pPr>
              <w:spacing w:after="20"/>
            </w:pPr>
            <w:r/>
            <w:r>
              <w:rPr>
                <w:b/>
                <w:color w:val="FFFFFF"/>
                <w:sz w:val="17"/>
              </w:rPr>
              <w:t>rate</w:t>
            </w:r>
          </w:p>
        </w:tc>
        <w:tc>
          <w:tcPr>
            <w:tcW w:type="dxa" w:w="1152"/>
            <w:shd w:fill="1F3864"/>
          </w:tcPr>
          <w:p>
            <w:pPr>
              <w:spacing w:after="20"/>
            </w:pPr>
            <w:r/>
            <w:r>
              <w:rPr>
                <w:b/>
                <w:color w:val="FFFFFF"/>
                <w:sz w:val="17"/>
              </w:rPr>
              <w:t>stability</w:t>
            </w:r>
          </w:p>
        </w:tc>
        <w:tc>
          <w:tcPr>
            <w:tcW w:type="dxa" w:w="1440"/>
            <w:shd w:fill="1F3864"/>
          </w:tcPr>
          <w:p>
            <w:pPr>
              <w:spacing w:after="20"/>
            </w:pPr>
            <w:r/>
            <w:r>
              <w:rPr>
                <w:b/>
                <w:color w:val="FFFFFF"/>
                <w:sz w:val="17"/>
              </w:rPr>
              <w:t>median beta shift</w:t>
            </w:r>
          </w:p>
        </w:tc>
        <w:tc>
          <w:tcPr>
            <w:tcW w:type="dxa" w:w="1152"/>
            <w:shd w:fill="1F3864"/>
          </w:tcPr>
          <w:p>
            <w:pPr>
              <w:spacing w:after="20"/>
            </w:pPr>
            <w:r/>
            <w:r>
              <w:rPr>
                <w:b/>
                <w:color w:val="FFFFFF"/>
                <w:sz w:val="17"/>
              </w:rPr>
              <w:t>trivial flags</w:t>
            </w:r>
          </w:p>
        </w:tc>
        <w:tc>
          <w:tcPr>
            <w:tcW w:type="dxa" w:w="1296"/>
            <w:shd w:fill="1F3864"/>
          </w:tcPr>
          <w:p>
            <w:pPr>
              <w:spacing w:after="20"/>
            </w:pPr>
            <w:r/>
            <w:r>
              <w:rPr>
                <w:b/>
                <w:color w:val="FFFFFF"/>
                <w:sz w:val="17"/>
              </w:rPr>
              <w:t>contrary flags</w:t>
            </w:r>
          </w:p>
        </w:tc>
      </w:tr>
      <w:tr>
        <w:tc>
          <w:tcPr>
            <w:tcW w:type="dxa" w:w="3744"/>
            <w:shd w:fill="FFF2CC"/>
          </w:tcPr>
          <w:p>
            <w:pPr>
              <w:spacing w:after="20"/>
            </w:pPr>
            <w:r/>
            <w:r>
              <w:rPr>
                <w:b w:val="0"/>
                <w:sz w:val="17"/>
              </w:rPr>
              <w:t>+ floor at 0.10</w:t>
            </w:r>
          </w:p>
        </w:tc>
        <w:tc>
          <w:tcPr>
            <w:tcW w:type="dxa" w:w="864"/>
            <w:shd w:fill="FFF2CC"/>
          </w:tcPr>
          <w:p>
            <w:pPr>
              <w:spacing w:after="20"/>
            </w:pPr>
            <w:r/>
            <w:r>
              <w:rPr>
                <w:b w:val="0"/>
                <w:sz w:val="17"/>
              </w:rPr>
              <w:t>6.272</w:t>
            </w:r>
          </w:p>
        </w:tc>
        <w:tc>
          <w:tcPr>
            <w:tcW w:type="dxa" w:w="1152"/>
            <w:shd w:fill="FFF2CC"/>
          </w:tcPr>
          <w:p>
            <w:pPr>
              <w:spacing w:after="20"/>
            </w:pPr>
            <w:r/>
            <w:r>
              <w:rPr>
                <w:b w:val="0"/>
                <w:sz w:val="17"/>
              </w:rPr>
              <w:t>0.9069</w:t>
            </w:r>
          </w:p>
        </w:tc>
        <w:tc>
          <w:tcPr>
            <w:tcW w:type="dxa" w:w="1440"/>
            <w:shd w:fill="FFF2CC"/>
          </w:tcPr>
          <w:p>
            <w:pPr>
              <w:spacing w:after="20"/>
            </w:pPr>
            <w:r/>
            <w:r>
              <w:rPr>
                <w:b w:val="0"/>
                <w:sz w:val="17"/>
              </w:rPr>
              <w:t>0.2239</w:t>
            </w:r>
          </w:p>
        </w:tc>
        <w:tc>
          <w:tcPr>
            <w:tcW w:type="dxa" w:w="1152"/>
            <w:shd w:fill="FFF2CC"/>
          </w:tcPr>
          <w:p>
            <w:pPr>
              <w:spacing w:after="20"/>
            </w:pPr>
            <w:r/>
            <w:r>
              <w:rPr>
                <w:b w:val="0"/>
                <w:sz w:val="17"/>
              </w:rPr>
              <w:t>0%</w:t>
            </w:r>
          </w:p>
        </w:tc>
        <w:tc>
          <w:tcPr>
            <w:tcW w:type="dxa" w:w="1296"/>
            <w:shd w:fill="FFF2CC"/>
          </w:tcPr>
          <w:p>
            <w:pPr>
              <w:spacing w:after="20"/>
            </w:pPr>
            <w:r/>
            <w:r>
              <w:rPr>
                <w:b/>
                <w:sz w:val="17"/>
              </w:rPr>
              <w:t>6.51%</w:t>
            </w:r>
          </w:p>
        </w:tc>
      </w:tr>
      <w:tr>
        <w:tc>
          <w:tcPr>
            <w:tcW w:type="dxa" w:w="3744"/>
          </w:tcPr>
          <w:p>
            <w:pPr>
              <w:spacing w:after="20"/>
            </w:pPr>
            <w:r/>
            <w:r>
              <w:rPr>
                <w:b w:val="0"/>
                <w:sz w:val="17"/>
              </w:rPr>
              <w:t>+ floor on distance to threshold (deltMeth)</w:t>
            </w:r>
          </w:p>
        </w:tc>
        <w:tc>
          <w:tcPr>
            <w:tcW w:type="dxa" w:w="864"/>
          </w:tcPr>
          <w:p>
            <w:pPr>
              <w:spacing w:after="20"/>
            </w:pPr>
            <w:r/>
            <w:r>
              <w:rPr>
                <w:b w:val="0"/>
                <w:sz w:val="17"/>
              </w:rPr>
              <w:t>6.272</w:t>
            </w:r>
          </w:p>
        </w:tc>
        <w:tc>
          <w:tcPr>
            <w:tcW w:type="dxa" w:w="1152"/>
          </w:tcPr>
          <w:p>
            <w:pPr>
              <w:spacing w:after="20"/>
            </w:pPr>
            <w:r/>
            <w:r>
              <w:rPr>
                <w:b w:val="0"/>
                <w:sz w:val="17"/>
              </w:rPr>
              <w:t>0.8802</w:t>
            </w:r>
          </w:p>
        </w:tc>
        <w:tc>
          <w:tcPr>
            <w:tcW w:type="dxa" w:w="1440"/>
          </w:tcPr>
          <w:p>
            <w:pPr>
              <w:spacing w:after="20"/>
            </w:pPr>
            <w:r/>
            <w:r>
              <w:rPr>
                <w:b w:val="0"/>
                <w:sz w:val="17"/>
              </w:rPr>
              <w:t>0.2103</w:t>
            </w:r>
          </w:p>
        </w:tc>
        <w:tc>
          <w:tcPr>
            <w:tcW w:type="dxa" w:w="1152"/>
          </w:tcPr>
          <w:p>
            <w:pPr>
              <w:spacing w:after="20"/>
            </w:pPr>
            <w:r/>
            <w:r>
              <w:rPr>
                <w:b w:val="0"/>
                <w:sz w:val="17"/>
              </w:rPr>
              <w:t>16.9%</w:t>
            </w:r>
          </w:p>
        </w:tc>
        <w:tc>
          <w:tcPr>
            <w:tcW w:type="dxa" w:w="1296"/>
          </w:tcPr>
          <w:p>
            <w:pPr>
              <w:spacing w:after="20"/>
            </w:pPr>
            <w:r/>
            <w:r>
              <w:rPr>
                <w:b/>
                <w:sz w:val="17"/>
              </w:rPr>
              <w:t>9.42%</w:t>
            </w:r>
          </w:p>
        </w:tc>
      </w:tr>
      <w:tr>
        <w:tc>
          <w:tcPr>
            <w:tcW w:type="dxa" w:w="3744"/>
          </w:tcPr>
          <w:p>
            <w:pPr>
              <w:spacing w:after="20"/>
            </w:pPr>
            <w:r/>
            <w:r>
              <w:rPr>
                <w:b w:val="0"/>
                <w:sz w:val="17"/>
              </w:rPr>
              <w:t>+ floor at 0.05 (proposed in the email)</w:t>
            </w:r>
          </w:p>
        </w:tc>
        <w:tc>
          <w:tcPr>
            <w:tcW w:type="dxa" w:w="864"/>
          </w:tcPr>
          <w:p>
            <w:pPr>
              <w:spacing w:after="20"/>
            </w:pPr>
            <w:r/>
            <w:r>
              <w:rPr>
                <w:b w:val="0"/>
                <w:sz w:val="17"/>
              </w:rPr>
              <w:t>8.13 †</w:t>
            </w:r>
          </w:p>
        </w:tc>
        <w:tc>
          <w:tcPr>
            <w:tcW w:type="dxa" w:w="1152"/>
          </w:tcPr>
          <w:p>
            <w:pPr>
              <w:spacing w:after="20"/>
            </w:pPr>
            <w:r/>
            <w:r>
              <w:rPr>
                <w:b w:val="0"/>
                <w:sz w:val="17"/>
              </w:rPr>
              <w:t>0.8707</w:t>
            </w:r>
          </w:p>
        </w:tc>
        <w:tc>
          <w:tcPr>
            <w:tcW w:type="dxa" w:w="1440"/>
          </w:tcPr>
          <w:p>
            <w:pPr>
              <w:spacing w:after="20"/>
            </w:pPr>
            <w:r/>
            <w:r>
              <w:rPr>
                <w:b w:val="0"/>
                <w:sz w:val="17"/>
              </w:rPr>
              <w:t>0.1798</w:t>
            </w:r>
          </w:p>
        </w:tc>
        <w:tc>
          <w:tcPr>
            <w:tcW w:type="dxa" w:w="1152"/>
          </w:tcPr>
          <w:p>
            <w:pPr>
              <w:spacing w:after="20"/>
            </w:pPr>
            <w:r/>
            <w:r>
              <w:rPr>
                <w:b w:val="0"/>
                <w:sz w:val="17"/>
              </w:rPr>
              <w:t>22.86%</w:t>
            </w:r>
          </w:p>
        </w:tc>
        <w:tc>
          <w:tcPr>
            <w:tcW w:type="dxa" w:w="1296"/>
          </w:tcPr>
          <w:p>
            <w:pPr>
              <w:spacing w:after="20"/>
            </w:pPr>
            <w:r/>
            <w:r>
              <w:rPr>
                <w:b/>
                <w:sz w:val="17"/>
              </w:rPr>
              <w:t>14.62%</w:t>
            </w:r>
          </w:p>
        </w:tc>
      </w:tr>
      <w:tr>
        <w:tc>
          <w:tcPr>
            <w:tcW w:type="dxa" w:w="3744"/>
          </w:tcPr>
          <w:p>
            <w:pPr>
              <w:spacing w:after="20"/>
            </w:pPr>
            <w:r/>
            <w:r>
              <w:rPr>
                <w:b w:val="0"/>
                <w:sz w:val="17"/>
              </w:rPr>
              <w:t xml:space="preserve">bio-stat, deviation — </w:t>
            </w:r>
            <w:r>
              <w:rPr>
                <w:b/>
                <w:sz w:val="17"/>
              </w:rPr>
              <w:t>no reference panel at all</w:t>
            </w:r>
          </w:p>
        </w:tc>
        <w:tc>
          <w:tcPr>
            <w:tcW w:type="dxa" w:w="864"/>
          </w:tcPr>
          <w:p>
            <w:pPr>
              <w:spacing w:after="20"/>
            </w:pPr>
            <w:r/>
            <w:r>
              <w:rPr>
                <w:b w:val="0"/>
                <w:sz w:val="17"/>
              </w:rPr>
              <w:t>6.272</w:t>
            </w:r>
          </w:p>
        </w:tc>
        <w:tc>
          <w:tcPr>
            <w:tcW w:type="dxa" w:w="1152"/>
          </w:tcPr>
          <w:p>
            <w:pPr>
              <w:spacing w:after="20"/>
            </w:pPr>
            <w:r/>
            <w:r>
              <w:rPr>
                <w:b w:val="0"/>
                <w:sz w:val="17"/>
              </w:rPr>
              <w:t>0.8333</w:t>
            </w:r>
          </w:p>
        </w:tc>
        <w:tc>
          <w:tcPr>
            <w:tcW w:type="dxa" w:w="1440"/>
          </w:tcPr>
          <w:p>
            <w:pPr>
              <w:spacing w:after="20"/>
            </w:pPr>
            <w:r/>
            <w:r>
              <w:rPr>
                <w:b w:val="0"/>
                <w:sz w:val="17"/>
              </w:rPr>
              <w:t>0.1991</w:t>
            </w:r>
          </w:p>
        </w:tc>
        <w:tc>
          <w:tcPr>
            <w:tcW w:type="dxa" w:w="1152"/>
          </w:tcPr>
          <w:p>
            <w:pPr>
              <w:spacing w:after="20"/>
            </w:pPr>
            <w:r/>
            <w:r>
              <w:rPr>
                <w:b w:val="0"/>
                <w:sz w:val="17"/>
              </w:rPr>
              <w:t>32.06%</w:t>
            </w:r>
          </w:p>
        </w:tc>
        <w:tc>
          <w:tcPr>
            <w:tcW w:type="dxa" w:w="1296"/>
          </w:tcPr>
          <w:p>
            <w:pPr>
              <w:spacing w:after="20"/>
            </w:pPr>
            <w:r/>
            <w:r>
              <w:rPr>
                <w:b/>
                <w:sz w:val="17"/>
              </w:rPr>
              <w:t>0%</w:t>
            </w:r>
          </w:p>
        </w:tc>
      </w:tr>
      <w:tr>
        <w:tc>
          <w:tcPr>
            <w:tcW w:type="dxa" w:w="3744"/>
          </w:tcPr>
          <w:p>
            <w:pPr>
              <w:spacing w:after="20"/>
            </w:pPr>
            <w:r/>
            <w:r>
              <w:rPr>
                <w:b w:val="0"/>
                <w:sz w:val="17"/>
              </w:rPr>
              <w:t>+ per-state calibrated floor</w:t>
            </w:r>
          </w:p>
        </w:tc>
        <w:tc>
          <w:tcPr>
            <w:tcW w:type="dxa" w:w="864"/>
          </w:tcPr>
          <w:p>
            <w:pPr>
              <w:spacing w:after="20"/>
            </w:pPr>
            <w:r/>
            <w:r>
              <w:rPr>
                <w:b w:val="0"/>
                <w:sz w:val="17"/>
              </w:rPr>
              <w:t>6.272</w:t>
            </w:r>
          </w:p>
        </w:tc>
        <w:tc>
          <w:tcPr>
            <w:tcW w:type="dxa" w:w="1152"/>
          </w:tcPr>
          <w:p>
            <w:pPr>
              <w:spacing w:after="20"/>
            </w:pPr>
            <w:r/>
            <w:r>
              <w:rPr>
                <w:b w:val="0"/>
                <w:sz w:val="17"/>
              </w:rPr>
              <w:t>0.7511</w:t>
            </w:r>
          </w:p>
        </w:tc>
        <w:tc>
          <w:tcPr>
            <w:tcW w:type="dxa" w:w="1440"/>
          </w:tcPr>
          <w:p>
            <w:pPr>
              <w:spacing w:after="20"/>
            </w:pPr>
            <w:r/>
            <w:r>
              <w:rPr>
                <w:b w:val="0"/>
                <w:sz w:val="17"/>
              </w:rPr>
              <w:t>0.2239</w:t>
            </w:r>
          </w:p>
        </w:tc>
        <w:tc>
          <w:tcPr>
            <w:tcW w:type="dxa" w:w="1152"/>
          </w:tcPr>
          <w:p>
            <w:pPr>
              <w:spacing w:after="20"/>
            </w:pPr>
            <w:r/>
            <w:r>
              <w:rPr>
                <w:b w:val="0"/>
                <w:sz w:val="17"/>
              </w:rPr>
              <w:t>23.24%</w:t>
            </w:r>
          </w:p>
        </w:tc>
        <w:tc>
          <w:tcPr>
            <w:tcW w:type="dxa" w:w="1296"/>
          </w:tcPr>
          <w:p>
            <w:pPr>
              <w:spacing w:after="20"/>
            </w:pPr>
            <w:r/>
            <w:r>
              <w:rPr>
                <w:b/>
                <w:sz w:val="17"/>
              </w:rPr>
              <w:t>21.8%</w:t>
            </w:r>
          </w:p>
        </w:tc>
      </w:tr>
      <w:tr>
        <w:tc>
          <w:tcPr>
            <w:tcW w:type="dxa" w:w="3744"/>
          </w:tcPr>
          <w:p>
            <w:pPr>
              <w:spacing w:after="20"/>
            </w:pPr>
            <w:r/>
            <w:r>
              <w:rPr>
                <w:b w:val="0"/>
                <w:sz w:val="17"/>
              </w:rPr>
              <w:t>+ floor scaled by measured noise</w:t>
            </w:r>
          </w:p>
        </w:tc>
        <w:tc>
          <w:tcPr>
            <w:tcW w:type="dxa" w:w="864"/>
          </w:tcPr>
          <w:p>
            <w:pPr>
              <w:spacing w:after="20"/>
            </w:pPr>
            <w:r/>
            <w:r>
              <w:rPr>
                <w:b w:val="0"/>
                <w:sz w:val="17"/>
              </w:rPr>
              <w:t>6.272</w:t>
            </w:r>
          </w:p>
        </w:tc>
        <w:tc>
          <w:tcPr>
            <w:tcW w:type="dxa" w:w="1152"/>
          </w:tcPr>
          <w:p>
            <w:pPr>
              <w:spacing w:after="20"/>
            </w:pPr>
            <w:r/>
            <w:r>
              <w:rPr>
                <w:b w:val="0"/>
                <w:sz w:val="17"/>
              </w:rPr>
              <w:t>0.7048</w:t>
            </w:r>
          </w:p>
        </w:tc>
        <w:tc>
          <w:tcPr>
            <w:tcW w:type="dxa" w:w="1440"/>
          </w:tcPr>
          <w:p>
            <w:pPr>
              <w:spacing w:after="20"/>
            </w:pPr>
            <w:r/>
            <w:r>
              <w:rPr>
                <w:b w:val="0"/>
                <w:sz w:val="17"/>
              </w:rPr>
              <w:t>0.2239</w:t>
            </w:r>
          </w:p>
        </w:tc>
        <w:tc>
          <w:tcPr>
            <w:tcW w:type="dxa" w:w="1152"/>
          </w:tcPr>
          <w:p>
            <w:pPr>
              <w:spacing w:after="20"/>
            </w:pPr>
            <w:r/>
            <w:r>
              <w:rPr>
                <w:b w:val="0"/>
                <w:sz w:val="17"/>
              </w:rPr>
              <w:t>18.11%</w:t>
            </w:r>
          </w:p>
        </w:tc>
        <w:tc>
          <w:tcPr>
            <w:tcW w:type="dxa" w:w="1296"/>
          </w:tcPr>
          <w:p>
            <w:pPr>
              <w:spacing w:after="20"/>
            </w:pPr>
            <w:r/>
            <w:r>
              <w:rPr>
                <w:b/>
                <w:sz w:val="17"/>
              </w:rPr>
              <w:t>15.05%</w:t>
            </w:r>
          </w:p>
        </w:tc>
      </w:tr>
      <w:tr>
        <w:tc>
          <w:tcPr>
            <w:tcW w:type="dxa" w:w="3744"/>
          </w:tcPr>
          <w:p>
            <w:pPr>
              <w:spacing w:after="20"/>
            </w:pPr>
            <w:r/>
            <w:r>
              <w:rPr>
                <w:b w:val="0"/>
                <w:sz w:val="17"/>
              </w:rPr>
              <w:t>median ± k·MAD on beta</w:t>
            </w:r>
          </w:p>
        </w:tc>
        <w:tc>
          <w:tcPr>
            <w:tcW w:type="dxa" w:w="864"/>
          </w:tcPr>
          <w:p>
            <w:pPr>
              <w:spacing w:after="20"/>
            </w:pPr>
            <w:r/>
            <w:r>
              <w:rPr>
                <w:b w:val="0"/>
                <w:sz w:val="17"/>
              </w:rPr>
              <w:t>6.272</w:t>
            </w:r>
          </w:p>
        </w:tc>
        <w:tc>
          <w:tcPr>
            <w:tcW w:type="dxa" w:w="1152"/>
          </w:tcPr>
          <w:p>
            <w:pPr>
              <w:spacing w:after="20"/>
            </w:pPr>
            <w:r/>
            <w:r>
              <w:rPr>
                <w:b w:val="0"/>
                <w:sz w:val="17"/>
              </w:rPr>
              <w:t>0.6782</w:t>
            </w:r>
          </w:p>
        </w:tc>
        <w:tc>
          <w:tcPr>
            <w:tcW w:type="dxa" w:w="1440"/>
          </w:tcPr>
          <w:p>
            <w:pPr>
              <w:spacing w:after="20"/>
            </w:pPr>
            <w:r/>
            <w:r>
              <w:rPr>
                <w:b w:val="0"/>
                <w:sz w:val="17"/>
              </w:rPr>
              <w:t>0.1211</w:t>
            </w:r>
          </w:p>
        </w:tc>
        <w:tc>
          <w:tcPr>
            <w:tcW w:type="dxa" w:w="1152"/>
          </w:tcPr>
          <w:p>
            <w:pPr>
              <w:spacing w:after="20"/>
            </w:pPr>
            <w:r/>
            <w:r>
              <w:rPr>
                <w:b w:val="0"/>
                <w:sz w:val="17"/>
              </w:rPr>
              <w:t>44.15%</w:t>
            </w:r>
          </w:p>
        </w:tc>
        <w:tc>
          <w:tcPr>
            <w:tcW w:type="dxa" w:w="1296"/>
          </w:tcPr>
          <w:p>
            <w:pPr>
              <w:spacing w:after="20"/>
            </w:pPr>
            <w:r/>
            <w:r>
              <w:rPr>
                <w:b/>
                <w:sz w:val="17"/>
              </w:rPr>
              <w:t>1.25%</w:t>
            </w:r>
          </w:p>
        </w:tc>
      </w:tr>
      <w:tr>
        <w:tc>
          <w:tcPr>
            <w:tcW w:type="dxa" w:w="3744"/>
          </w:tcPr>
          <w:p>
            <w:pPr>
              <w:spacing w:after="20"/>
            </w:pPr>
            <w:r/>
            <w:r>
              <w:rPr>
                <w:b w:val="0"/>
                <w:sz w:val="17"/>
              </w:rPr>
              <w:t>external reference, as published</w:t>
            </w:r>
          </w:p>
        </w:tc>
        <w:tc>
          <w:tcPr>
            <w:tcW w:type="dxa" w:w="864"/>
          </w:tcPr>
          <w:p>
            <w:pPr>
              <w:spacing w:after="20"/>
            </w:pPr>
            <w:r/>
            <w:r>
              <w:rPr>
                <w:b w:val="0"/>
                <w:sz w:val="17"/>
              </w:rPr>
              <w:t>10.222 †</w:t>
            </w:r>
          </w:p>
        </w:tc>
        <w:tc>
          <w:tcPr>
            <w:tcW w:type="dxa" w:w="1152"/>
          </w:tcPr>
          <w:p>
            <w:pPr>
              <w:spacing w:after="20"/>
            </w:pPr>
            <w:r/>
            <w:r>
              <w:rPr>
                <w:b w:val="0"/>
                <w:sz w:val="17"/>
              </w:rPr>
              <w:t>0.6476</w:t>
            </w:r>
          </w:p>
        </w:tc>
        <w:tc>
          <w:tcPr>
            <w:tcW w:type="dxa" w:w="1440"/>
          </w:tcPr>
          <w:p>
            <w:pPr>
              <w:spacing w:after="20"/>
            </w:pPr>
            <w:r/>
            <w:r>
              <w:rPr>
                <w:b w:val="0"/>
                <w:sz w:val="17"/>
              </w:rPr>
              <w:t>0.1382</w:t>
            </w:r>
          </w:p>
        </w:tc>
        <w:tc>
          <w:tcPr>
            <w:tcW w:type="dxa" w:w="1152"/>
          </w:tcPr>
          <w:p>
            <w:pPr>
              <w:spacing w:after="20"/>
            </w:pPr>
            <w:r/>
            <w:r>
              <w:rPr>
                <w:b w:val="0"/>
                <w:sz w:val="17"/>
              </w:rPr>
              <w:t>38.65%</w:t>
            </w:r>
          </w:p>
        </w:tc>
        <w:tc>
          <w:tcPr>
            <w:tcW w:type="dxa" w:w="1296"/>
          </w:tcPr>
          <w:p>
            <w:pPr>
              <w:spacing w:after="20"/>
            </w:pPr>
            <w:r/>
            <w:r>
              <w:rPr>
                <w:b/>
                <w:sz w:val="17"/>
              </w:rPr>
              <w:t>26.96%</w:t>
            </w:r>
          </w:p>
        </w:tc>
      </w:tr>
      <w:tr>
        <w:tc>
          <w:tcPr>
            <w:tcW w:type="dxa" w:w="3744"/>
          </w:tcPr>
          <w:p>
            <w:pPr>
              <w:spacing w:after="20"/>
            </w:pPr>
            <w:r/>
            <w:r>
              <w:rPr>
                <w:b w:val="0"/>
                <w:sz w:val="17"/>
              </w:rPr>
              <w:t>median ± k·MAD on the angular transform</w:t>
            </w:r>
          </w:p>
        </w:tc>
        <w:tc>
          <w:tcPr>
            <w:tcW w:type="dxa" w:w="864"/>
          </w:tcPr>
          <w:p>
            <w:pPr>
              <w:spacing w:after="20"/>
            </w:pPr>
            <w:r/>
            <w:r>
              <w:rPr>
                <w:b w:val="0"/>
                <w:sz w:val="17"/>
              </w:rPr>
              <w:t>6.271</w:t>
            </w:r>
          </w:p>
        </w:tc>
        <w:tc>
          <w:tcPr>
            <w:tcW w:type="dxa" w:w="1152"/>
          </w:tcPr>
          <w:p>
            <w:pPr>
              <w:spacing w:after="20"/>
            </w:pPr>
            <w:r/>
            <w:r>
              <w:rPr>
                <w:b w:val="0"/>
                <w:sz w:val="17"/>
              </w:rPr>
              <w:t>0.5456</w:t>
            </w:r>
          </w:p>
        </w:tc>
        <w:tc>
          <w:tcPr>
            <w:tcW w:type="dxa" w:w="1440"/>
          </w:tcPr>
          <w:p>
            <w:pPr>
              <w:spacing w:after="20"/>
            </w:pPr>
            <w:r/>
            <w:r>
              <w:rPr>
                <w:b w:val="0"/>
                <w:sz w:val="17"/>
              </w:rPr>
              <w:t>0.1204</w:t>
            </w:r>
          </w:p>
        </w:tc>
        <w:tc>
          <w:tcPr>
            <w:tcW w:type="dxa" w:w="1152"/>
          </w:tcPr>
          <w:p>
            <w:pPr>
              <w:spacing w:after="20"/>
            </w:pPr>
            <w:r/>
            <w:r>
              <w:rPr>
                <w:b w:val="0"/>
                <w:sz w:val="17"/>
              </w:rPr>
              <w:t>44.66%</w:t>
            </w:r>
          </w:p>
        </w:tc>
        <w:tc>
          <w:tcPr>
            <w:tcW w:type="dxa" w:w="1296"/>
          </w:tcPr>
          <w:p>
            <w:pPr>
              <w:spacing w:after="20"/>
            </w:pPr>
            <w:r/>
            <w:r>
              <w:rPr>
                <w:b/>
                <w:sz w:val="17"/>
              </w:rPr>
              <w:t>5.81%</w:t>
            </w:r>
          </w:p>
        </w:tc>
      </w:tr>
      <w:tr>
        <w:tc>
          <w:tcPr>
            <w:tcW w:type="dxa" w:w="3744"/>
          </w:tcPr>
          <w:p>
            <w:pPr>
              <w:spacing w:after="20"/>
            </w:pPr>
            <w:r/>
            <w:r>
              <w:rPr>
                <w:b w:val="0"/>
                <w:sz w:val="17"/>
              </w:rPr>
              <w:t>median ± k·MAD on M-values</w:t>
            </w:r>
          </w:p>
        </w:tc>
        <w:tc>
          <w:tcPr>
            <w:tcW w:type="dxa" w:w="864"/>
          </w:tcPr>
          <w:p>
            <w:pPr>
              <w:spacing w:after="20"/>
            </w:pPr>
            <w:r/>
            <w:r>
              <w:rPr>
                <w:b w:val="0"/>
                <w:sz w:val="17"/>
              </w:rPr>
              <w:t>6.272</w:t>
            </w:r>
          </w:p>
        </w:tc>
        <w:tc>
          <w:tcPr>
            <w:tcW w:type="dxa" w:w="1152"/>
          </w:tcPr>
          <w:p>
            <w:pPr>
              <w:spacing w:after="20"/>
            </w:pPr>
            <w:r/>
            <w:r>
              <w:rPr>
                <w:b w:val="0"/>
                <w:sz w:val="17"/>
              </w:rPr>
              <w:t>0.4292</w:t>
            </w:r>
          </w:p>
        </w:tc>
        <w:tc>
          <w:tcPr>
            <w:tcW w:type="dxa" w:w="1440"/>
          </w:tcPr>
          <w:p>
            <w:pPr>
              <w:spacing w:after="20"/>
            </w:pPr>
            <w:r/>
            <w:r>
              <w:rPr>
                <w:b w:val="0"/>
                <w:sz w:val="17"/>
              </w:rPr>
              <w:t>0.1184</w:t>
            </w:r>
          </w:p>
        </w:tc>
        <w:tc>
          <w:tcPr>
            <w:tcW w:type="dxa" w:w="1152"/>
          </w:tcPr>
          <w:p>
            <w:pPr>
              <w:spacing w:after="20"/>
            </w:pPr>
            <w:r/>
            <w:r>
              <w:rPr>
                <w:b w:val="0"/>
                <w:sz w:val="17"/>
              </w:rPr>
              <w:t>45.25%</w:t>
            </w:r>
          </w:p>
        </w:tc>
        <w:tc>
          <w:tcPr>
            <w:tcW w:type="dxa" w:w="1296"/>
          </w:tcPr>
          <w:p>
            <w:pPr>
              <w:spacing w:after="20"/>
            </w:pPr>
            <w:r/>
            <w:r>
              <w:rPr>
                <w:b/>
                <w:sz w:val="17"/>
              </w:rPr>
              <w:t>14.6%</w:t>
            </w:r>
          </w:p>
        </w:tc>
      </w:tr>
    </w:tbl>
    <w:p>
      <w:pPr>
        <w:spacing w:after="60"/>
      </w:pPr>
    </w:p>
    <w:p>
      <w:pPr>
        <w:spacing w:after="220"/>
      </w:pPr>
      <w:r>
        <w:rPr>
          <w:i/>
          <w:color w:val="606060"/>
          <w:sz w:val="16"/>
        </w:rPr>
        <w:t>chr22 · Results/Task32_ImprovedMethodScores.csv. **Stability** is the overlap between the flags on clean data and on data perturbed by noise of sd 0.01, with every self-derived threshold re-estimated. **Trivial** is the share of flags below a beta shift of 0.10. **Contrary** is the share running against the site's state. † flags at its own, higher, rate — so its loss is not an artifact of sensitivity.</w:t>
      </w:r>
    </w:p>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Fig12_MethodScores.png"/>
                    <pic:cNvPicPr/>
                  </pic:nvPicPr>
                  <pic:blipFill>
                    <a:blip r:embed="rId12"/>
                    <a:stretch>
                      <a:fillRect/>
                    </a:stretch>
                  </pic:blipFill>
                  <pic:spPr>
                    <a:xfrm>
                      <a:off x="0" y="0"/>
                      <a:ext cx="5852160" cy="2926080"/>
                    </a:xfrm>
                    <a:prstGeom prst="rect"/>
                  </pic:spPr>
                </pic:pic>
              </a:graphicData>
            </a:graphic>
          </wp:inline>
        </w:drawing>
      </w:r>
    </w:p>
    <w:p>
      <w:pPr>
        <w:spacing w:after="240"/>
        <w:jc w:val="center"/>
      </w:pPr>
      <w:r>
        <w:rPr>
          <w:b/>
          <w:i w:val="0"/>
          <w:color w:val="606060"/>
          <w:sz w:val="17"/>
        </w:rPr>
        <w:t>Figure 4.</w:t>
      </w:r>
      <w:r>
        <w:rPr>
          <w:b w:val="0"/>
          <w:i/>
          <w:color w:val="606060"/>
          <w:sz w:val="17"/>
        </w:rPr>
        <w:t xml:space="preserve"> The benchmark on two axes; up and to the right is better — reproducible flags that correspond to a real change. Point size is the share of flags running against the state.</w:t>
      </w:r>
    </w:p>
    <w:p>
      <w:pPr>
        <w:pStyle w:val="Heading2"/>
      </w:pPr>
      <w:r>
        <w:t>5.3  Five conclusions</w:t>
      </w:r>
    </w:p>
    <w:p>
      <w:pPr>
        <w:pStyle w:val="ListNumber"/>
        <w:spacing w:after="60"/>
      </w:pPr>
      <w:r>
        <w:rPr>
          <w:b/>
          <w:i w:val="0"/>
        </w:rPr>
        <w:t>Over half the external reference's normal-tissue flags run against the state.</w:t>
      </w:r>
      <w:r>
        <w:rPr>
          <w:b w:val="0"/>
          <w:i w:val="0"/>
        </w:rPr>
        <w:t xml:space="preserve"> 52.9% on chr22, 27.0% in tumour. A 0.10 floor cuts that to 21.0% and 6.5%. This is probably the clearest one-line statement of the problem the project has.</w:t>
      </w:r>
    </w:p>
    <w:p>
      <w:pPr>
        <w:pStyle w:val="ListNumber"/>
        <w:spacing w:after="60"/>
      </w:pPr>
      <w:r>
        <w:rPr>
          <w:b/>
          <w:i w:val="0"/>
        </w:rPr>
        <w:t>The plain constant floor still wins.</w:t>
      </w:r>
      <w:r>
        <w:rPr>
          <w:b w:val="0"/>
          <w:i w:val="0"/>
        </w:rPr>
        <w:t xml:space="preserve"> Requiring the measurement to sit at least 0.10 from the cohort median, on top of the external flag, is the most stable rule tested in both tissues. The elaborations do not beat it.</w:t>
      </w:r>
    </w:p>
    <w:p>
      <w:pPr>
        <w:pStyle w:val="ListNumber"/>
        <w:spacing w:after="60"/>
      </w:pPr>
      <w:r>
        <w:rPr>
          <w:b/>
          <w:i w:val="0"/>
        </w:rPr>
        <w:t>0.05 is measurably worse than 0.10, even with a rate advantage.</w:t>
      </w:r>
      <w:r>
        <w:rPr>
          <w:b w:val="0"/>
          <w:i w:val="0"/>
        </w:rPr>
        <w:t xml:space="preserve"> It scores 0.748 / 0.871 against 0.793 / 0.907 while flagging *more*, and leaves 39% / 23% of its flags below a shift of 0.10. If one constant has to be chosen, 0.10 is better; epimutacions uses 0.15.</w:t>
      </w:r>
    </w:p>
    <w:p>
      <w:pPr>
        <w:pStyle w:val="ListNumber"/>
        <w:spacing w:after="60"/>
      </w:pPr>
      <w:r>
        <w:rPr>
          <w:b/>
          <w:i w:val="0"/>
        </w:rPr>
        <w:t>The state-pooled rule is the best option that needs no reference panel, by a wide margin</w:t>
      </w:r>
      <w:r>
        <w:rPr>
          <w:b w:val="0"/>
          <w:i w:val="0"/>
        </w:rPr>
        <w:t xml:space="preserve"> — 0.779 / 0.833 against 0.429 / 0.678 for the standard robust alternative, a perfectly state-independent flag rate, and no contrary flags at all by construction. It needs no external panel and no assumption that a pan-tissue reference applies to breast. This is the suggestion from the email, and it is the strongest thing in the table after the constant floor.</w:t>
      </w:r>
    </w:p>
    <w:p>
      <w:pPr>
        <w:pStyle w:val="ListNumber"/>
        <w:spacing w:after="60"/>
      </w:pPr>
      <w:r>
        <w:rPr>
          <w:b/>
          <w:i w:val="0"/>
        </w:rPr>
        <w:t>Scaling the floor by the measured noise makes things worse — a negative result.</w:t>
      </w:r>
      <w:r>
        <w:rPr>
          <w:b w:val="0"/>
          <w:i w:val="0"/>
        </w:rPr>
        <w:t xml:space="preserve"> The noise is smallest exactly where the state is most compressed, so the floor at L sites lands at 0.023 and keeps the trivial flags. Noise scaling and interpretability are different requirements: a shift of 0.02 at an L site may be many standard deviations, and it is still not a finding.</w:t>
      </w:r>
    </w:p>
    <w:p>
      <w:pPr>
        <w:pStyle w:val="Heading2"/>
      </w:pPr>
      <w:r>
        <w:t>5.4  A question that is now settled: what about M-values?</w:t>
      </w:r>
    </w:p>
    <w:p>
      <w:r>
        <w:rPr>
          <w:b w:val="0"/>
          <w:i w:val="0"/>
        </w:rPr>
        <w:t xml:space="preserve">An earlier report found M-values — the textbook correction for this array's non-constant variance — to be the </w:t>
      </w:r>
      <w:r>
        <w:rPr>
          <w:b/>
          <w:i w:val="0"/>
        </w:rPr>
        <w:t>least</w:t>
      </w:r>
      <w:r>
        <w:rPr>
          <w:b w:val="0"/>
          <w:i w:val="0"/>
        </w:rPr>
        <w:t xml:space="preserve"> stable method tested, and blamed the logarithmic transform for magnifying noise at the extremes. That was a hypothesis. Adding the </w:t>
      </w:r>
      <w:r>
        <w:rPr>
          <w:b/>
          <w:i w:val="0"/>
        </w:rPr>
        <w:t>angular transform</w:t>
      </w:r>
      <w:r>
        <w:rPr>
          <w:b w:val="0"/>
          <w:i w:val="0"/>
        </w:rPr>
        <w:t>, which stabilises variance in the same way but is bounded and so magnifies far less, tests it directly.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152"/>
            <w:shd w:fill="1F3864"/>
          </w:tcPr>
          <w:p>
            <w:pPr>
              <w:spacing w:after="20"/>
            </w:pPr>
            <w:r/>
            <w:r>
              <w:rPr>
                <w:b/>
                <w:color w:val="FFFFFF"/>
                <w:sz w:val="18"/>
              </w:rPr>
              <w:t>tissue</w:t>
            </w:r>
          </w:p>
        </w:tc>
        <w:tc>
          <w:tcPr>
            <w:tcW w:type="dxa" w:w="1584"/>
            <w:shd w:fill="1F3864"/>
          </w:tcPr>
          <w:p>
            <w:pPr>
              <w:spacing w:after="20"/>
            </w:pPr>
            <w:r/>
            <w:r>
              <w:rPr>
                <w:b/>
                <w:color w:val="FFFFFF"/>
                <w:sz w:val="18"/>
              </w:rPr>
              <w:t>transform</w:t>
            </w:r>
          </w:p>
        </w:tc>
        <w:tc>
          <w:tcPr>
            <w:tcW w:type="dxa" w:w="3024"/>
            <w:shd w:fill="1F3864"/>
          </w:tcPr>
          <w:p>
            <w:pPr>
              <w:spacing w:after="20"/>
            </w:pPr>
            <w:r/>
            <w:r>
              <w:rPr>
                <w:b/>
                <w:color w:val="FFFFFF"/>
                <w:sz w:val="18"/>
              </w:rPr>
              <w:t>magnification where the flags are</w:t>
            </w:r>
          </w:p>
        </w:tc>
        <w:tc>
          <w:tcPr>
            <w:tcW w:type="dxa" w:w="1584"/>
            <w:shd w:fill="1F3864"/>
          </w:tcPr>
          <w:p>
            <w:pPr>
              <w:spacing w:after="20"/>
            </w:pPr>
            <w:r/>
            <w:r>
              <w:rPr>
                <w:b/>
                <w:color w:val="FFFFFF"/>
                <w:sz w:val="18"/>
              </w:rPr>
              <w:t>stability</w:t>
            </w:r>
          </w:p>
        </w:tc>
        <w:tc>
          <w:tcPr>
            <w:tcW w:type="dxa" w:w="1584"/>
            <w:shd w:fill="1F3864"/>
          </w:tcPr>
          <w:p>
            <w:pPr>
              <w:spacing w:after="20"/>
            </w:pPr>
            <w:r/>
            <w:r>
              <w:rPr>
                <w:b/>
                <w:color w:val="FFFFFF"/>
                <w:sz w:val="18"/>
              </w:rPr>
              <w:t>contrary flags</w:t>
            </w:r>
          </w:p>
        </w:tc>
      </w:tr>
      <w:tr>
        <w:tc>
          <w:tcPr>
            <w:tcW w:type="dxa" w:w="1152"/>
          </w:tcPr>
          <w:p>
            <w:pPr>
              <w:spacing w:after="20"/>
            </w:pPr>
            <w:r/>
            <w:r>
              <w:rPr>
                <w:b w:val="0"/>
                <w:sz w:val="18"/>
              </w:rPr>
              <w:t>Normal</w:t>
            </w:r>
          </w:p>
        </w:tc>
        <w:tc>
          <w:tcPr>
            <w:tcW w:type="dxa" w:w="1584"/>
          </w:tcPr>
          <w:p>
            <w:pPr>
              <w:spacing w:after="20"/>
            </w:pPr>
            <w:r/>
            <w:r>
              <w:rPr>
                <w:b w:val="0"/>
                <w:sz w:val="18"/>
              </w:rPr>
              <w:t>raw beta</w:t>
            </w:r>
          </w:p>
        </w:tc>
        <w:tc>
          <w:tcPr>
            <w:tcW w:type="dxa" w:w="3024"/>
          </w:tcPr>
          <w:p>
            <w:pPr>
              <w:spacing w:after="20"/>
            </w:pPr>
            <w:r/>
            <w:r>
              <w:rPr>
                <w:b w:val="0"/>
                <w:sz w:val="18"/>
              </w:rPr>
              <w:t>1.00</w:t>
            </w:r>
          </w:p>
        </w:tc>
        <w:tc>
          <w:tcPr>
            <w:tcW w:type="dxa" w:w="1584"/>
          </w:tcPr>
          <w:p>
            <w:pPr>
              <w:spacing w:after="20"/>
            </w:pPr>
            <w:r/>
            <w:r>
              <w:rPr>
                <w:b/>
                <w:sz w:val="18"/>
              </w:rPr>
              <w:t>0.429</w:t>
            </w:r>
          </w:p>
        </w:tc>
        <w:tc>
          <w:tcPr>
            <w:tcW w:type="dxa" w:w="1584"/>
          </w:tcPr>
          <w:p>
            <w:pPr>
              <w:spacing w:after="20"/>
            </w:pPr>
            <w:r/>
            <w:r>
              <w:rPr>
                <w:b/>
                <w:sz w:val="18"/>
              </w:rPr>
              <w:t>0.1%</w:t>
            </w:r>
          </w:p>
        </w:tc>
      </w:tr>
      <w:tr>
        <w:tc>
          <w:tcPr>
            <w:tcW w:type="dxa" w:w="1152"/>
          </w:tcPr>
          <w:p>
            <w:pPr>
              <w:spacing w:after="20"/>
            </w:pPr>
            <w:r/>
            <w:r>
              <w:rPr>
                <w:b w:val="0"/>
                <w:sz w:val="18"/>
              </w:rPr>
              <w:t>Normal</w:t>
            </w:r>
          </w:p>
        </w:tc>
        <w:tc>
          <w:tcPr>
            <w:tcW w:type="dxa" w:w="1584"/>
          </w:tcPr>
          <w:p>
            <w:pPr>
              <w:spacing w:after="20"/>
            </w:pPr>
            <w:r/>
            <w:r>
              <w:rPr>
                <w:b w:val="0"/>
                <w:sz w:val="18"/>
              </w:rPr>
              <w:t>angular</w:t>
            </w:r>
          </w:p>
        </w:tc>
        <w:tc>
          <w:tcPr>
            <w:tcW w:type="dxa" w:w="3024"/>
          </w:tcPr>
          <w:p>
            <w:pPr>
              <w:spacing w:after="20"/>
            </w:pPr>
            <w:r/>
            <w:r>
              <w:rPr>
                <w:b w:val="0"/>
                <w:sz w:val="18"/>
              </w:rPr>
              <w:t>1.48</w:t>
            </w:r>
          </w:p>
        </w:tc>
        <w:tc>
          <w:tcPr>
            <w:tcW w:type="dxa" w:w="1584"/>
          </w:tcPr>
          <w:p>
            <w:pPr>
              <w:spacing w:after="20"/>
            </w:pPr>
            <w:r/>
            <w:r>
              <w:rPr>
                <w:b w:val="0"/>
                <w:sz w:val="18"/>
              </w:rPr>
              <w:t>0.326</w:t>
            </w:r>
          </w:p>
        </w:tc>
        <w:tc>
          <w:tcPr>
            <w:tcW w:type="dxa" w:w="1584"/>
          </w:tcPr>
          <w:p>
            <w:pPr>
              <w:spacing w:after="20"/>
            </w:pPr>
            <w:r/>
            <w:r>
              <w:rPr>
                <w:b w:val="0"/>
                <w:sz w:val="18"/>
              </w:rPr>
              <w:t>2.5%</w:t>
            </w:r>
          </w:p>
        </w:tc>
      </w:tr>
      <w:tr>
        <w:tc>
          <w:tcPr>
            <w:tcW w:type="dxa" w:w="1152"/>
          </w:tcPr>
          <w:p>
            <w:pPr>
              <w:spacing w:after="20"/>
            </w:pPr>
            <w:r/>
            <w:r>
              <w:rPr>
                <w:b w:val="0"/>
                <w:sz w:val="18"/>
              </w:rPr>
              <w:t>Normal</w:t>
            </w:r>
          </w:p>
        </w:tc>
        <w:tc>
          <w:tcPr>
            <w:tcW w:type="dxa" w:w="1584"/>
          </w:tcPr>
          <w:p>
            <w:pPr>
              <w:spacing w:after="20"/>
            </w:pPr>
            <w:r/>
            <w:r>
              <w:rPr>
                <w:b w:val="0"/>
                <w:sz w:val="18"/>
              </w:rPr>
              <w:t>M-value</w:t>
            </w:r>
          </w:p>
        </w:tc>
        <w:tc>
          <w:tcPr>
            <w:tcW w:type="dxa" w:w="3024"/>
          </w:tcPr>
          <w:p>
            <w:pPr>
              <w:spacing w:after="20"/>
            </w:pPr>
            <w:r/>
            <w:r>
              <w:rPr>
                <w:b w:val="0"/>
                <w:sz w:val="18"/>
              </w:rPr>
              <w:t>2.26</w:t>
            </w:r>
          </w:p>
        </w:tc>
        <w:tc>
          <w:tcPr>
            <w:tcW w:type="dxa" w:w="1584"/>
          </w:tcPr>
          <w:p>
            <w:pPr>
              <w:spacing w:after="20"/>
            </w:pPr>
            <w:r/>
            <w:r>
              <w:rPr>
                <w:b/>
                <w:sz w:val="18"/>
              </w:rPr>
              <w:t>0.192</w:t>
            </w:r>
          </w:p>
        </w:tc>
        <w:tc>
          <w:tcPr>
            <w:tcW w:type="dxa" w:w="1584"/>
          </w:tcPr>
          <w:p>
            <w:pPr>
              <w:spacing w:after="20"/>
            </w:pPr>
            <w:r/>
            <w:r>
              <w:rPr>
                <w:b/>
                <w:sz w:val="18"/>
              </w:rPr>
              <w:t>12.1%</w:t>
            </w:r>
          </w:p>
        </w:tc>
      </w:tr>
      <w:tr>
        <w:tc>
          <w:tcPr>
            <w:tcW w:type="dxa" w:w="1152"/>
          </w:tcPr>
          <w:p>
            <w:pPr>
              <w:spacing w:after="20"/>
            </w:pPr>
            <w:r/>
            <w:r>
              <w:rPr>
                <w:b w:val="0"/>
                <w:sz w:val="18"/>
              </w:rPr>
              <w:t>Tumour</w:t>
            </w:r>
          </w:p>
        </w:tc>
        <w:tc>
          <w:tcPr>
            <w:tcW w:type="dxa" w:w="1584"/>
          </w:tcPr>
          <w:p>
            <w:pPr>
              <w:spacing w:after="20"/>
            </w:pPr>
            <w:r/>
            <w:r>
              <w:rPr>
                <w:b w:val="0"/>
                <w:sz w:val="18"/>
              </w:rPr>
              <w:t>raw beta</w:t>
            </w:r>
          </w:p>
        </w:tc>
        <w:tc>
          <w:tcPr>
            <w:tcW w:type="dxa" w:w="3024"/>
          </w:tcPr>
          <w:p>
            <w:pPr>
              <w:spacing w:after="20"/>
            </w:pPr>
            <w:r/>
            <w:r>
              <w:rPr>
                <w:b w:val="0"/>
                <w:sz w:val="18"/>
              </w:rPr>
              <w:t>1.00</w:t>
            </w:r>
          </w:p>
        </w:tc>
        <w:tc>
          <w:tcPr>
            <w:tcW w:type="dxa" w:w="1584"/>
          </w:tcPr>
          <w:p>
            <w:pPr>
              <w:spacing w:after="20"/>
            </w:pPr>
            <w:r/>
            <w:r>
              <w:rPr>
                <w:b/>
                <w:sz w:val="18"/>
              </w:rPr>
              <w:t>0.678</w:t>
            </w:r>
          </w:p>
        </w:tc>
        <w:tc>
          <w:tcPr>
            <w:tcW w:type="dxa" w:w="1584"/>
          </w:tcPr>
          <w:p>
            <w:pPr>
              <w:spacing w:after="20"/>
            </w:pPr>
            <w:r/>
            <w:r>
              <w:rPr>
                <w:b/>
                <w:sz w:val="18"/>
              </w:rPr>
              <w:t>1.3%</w:t>
            </w:r>
          </w:p>
        </w:tc>
      </w:tr>
      <w:tr>
        <w:tc>
          <w:tcPr>
            <w:tcW w:type="dxa" w:w="1152"/>
          </w:tcPr>
          <w:p>
            <w:pPr>
              <w:spacing w:after="20"/>
            </w:pPr>
            <w:r/>
            <w:r>
              <w:rPr>
                <w:b w:val="0"/>
                <w:sz w:val="18"/>
              </w:rPr>
              <w:t>Tumour</w:t>
            </w:r>
          </w:p>
        </w:tc>
        <w:tc>
          <w:tcPr>
            <w:tcW w:type="dxa" w:w="1584"/>
          </w:tcPr>
          <w:p>
            <w:pPr>
              <w:spacing w:after="20"/>
            </w:pPr>
            <w:r/>
            <w:r>
              <w:rPr>
                <w:b w:val="0"/>
                <w:sz w:val="18"/>
              </w:rPr>
              <w:t>angular</w:t>
            </w:r>
          </w:p>
        </w:tc>
        <w:tc>
          <w:tcPr>
            <w:tcW w:type="dxa" w:w="3024"/>
          </w:tcPr>
          <w:p>
            <w:pPr>
              <w:spacing w:after="20"/>
            </w:pPr>
            <w:r/>
            <w:r>
              <w:rPr>
                <w:b w:val="0"/>
                <w:sz w:val="18"/>
              </w:rPr>
              <w:t>1.37</w:t>
            </w:r>
          </w:p>
        </w:tc>
        <w:tc>
          <w:tcPr>
            <w:tcW w:type="dxa" w:w="1584"/>
          </w:tcPr>
          <w:p>
            <w:pPr>
              <w:spacing w:after="20"/>
            </w:pPr>
            <w:r/>
            <w:r>
              <w:rPr>
                <w:b w:val="0"/>
                <w:sz w:val="18"/>
              </w:rPr>
              <w:t>0.546</w:t>
            </w:r>
          </w:p>
        </w:tc>
        <w:tc>
          <w:tcPr>
            <w:tcW w:type="dxa" w:w="1584"/>
          </w:tcPr>
          <w:p>
            <w:pPr>
              <w:spacing w:after="20"/>
            </w:pPr>
            <w:r/>
            <w:r>
              <w:rPr>
                <w:b w:val="0"/>
                <w:sz w:val="18"/>
              </w:rPr>
              <w:t>5.8%</w:t>
            </w:r>
          </w:p>
        </w:tc>
      </w:tr>
      <w:tr>
        <w:tc>
          <w:tcPr>
            <w:tcW w:type="dxa" w:w="1152"/>
          </w:tcPr>
          <w:p>
            <w:pPr>
              <w:spacing w:after="20"/>
            </w:pPr>
            <w:r/>
            <w:r>
              <w:rPr>
                <w:b w:val="0"/>
                <w:sz w:val="18"/>
              </w:rPr>
              <w:t>Tumour</w:t>
            </w:r>
          </w:p>
        </w:tc>
        <w:tc>
          <w:tcPr>
            <w:tcW w:type="dxa" w:w="1584"/>
          </w:tcPr>
          <w:p>
            <w:pPr>
              <w:spacing w:after="20"/>
            </w:pPr>
            <w:r/>
            <w:r>
              <w:rPr>
                <w:b w:val="0"/>
                <w:sz w:val="18"/>
              </w:rPr>
              <w:t>M-value</w:t>
            </w:r>
          </w:p>
        </w:tc>
        <w:tc>
          <w:tcPr>
            <w:tcW w:type="dxa" w:w="3024"/>
          </w:tcPr>
          <w:p>
            <w:pPr>
              <w:spacing w:after="20"/>
            </w:pPr>
            <w:r/>
            <w:r>
              <w:rPr>
                <w:b w:val="0"/>
                <w:sz w:val="18"/>
              </w:rPr>
              <w:t>2.17</w:t>
            </w:r>
          </w:p>
        </w:tc>
        <w:tc>
          <w:tcPr>
            <w:tcW w:type="dxa" w:w="1584"/>
          </w:tcPr>
          <w:p>
            <w:pPr>
              <w:spacing w:after="20"/>
            </w:pPr>
            <w:r/>
            <w:r>
              <w:rPr>
                <w:b/>
                <w:sz w:val="18"/>
              </w:rPr>
              <w:t>0.429</w:t>
            </w:r>
          </w:p>
        </w:tc>
        <w:tc>
          <w:tcPr>
            <w:tcW w:type="dxa" w:w="1584"/>
          </w:tcPr>
          <w:p>
            <w:pPr>
              <w:spacing w:after="20"/>
            </w:pPr>
            <w:r/>
            <w:r>
              <w:rPr>
                <w:b/>
                <w:sz w:val="18"/>
              </w:rPr>
              <w:t>14.6%</w:t>
            </w:r>
          </w:p>
        </w:tc>
      </w:tr>
    </w:tbl>
    <w:p>
      <w:pPr>
        <w:spacing w:after="60"/>
      </w:pPr>
    </w:p>
    <w:p>
      <w:r>
        <w:rPr>
          <w:b w:val="0"/>
          <w:i w:val="0"/>
        </w:rPr>
        <w:t xml:space="preserve">Monotone in both tissues, on both measures: </w:t>
      </w:r>
      <w:r>
        <w:rPr>
          <w:b/>
          <w:i w:val="0"/>
        </w:rPr>
        <w:t>the more a transform stretches the extremes, the less reproducible its flags and the more of them run against the state.</w:t>
      </w:r>
      <w:r>
        <w:rPr>
          <w:b w:val="0"/>
          <w:i w:val="0"/>
        </w:rPr>
        <w:t xml:space="preserve"> The hypothesis holds. The practical conclusion is not “use a gentler transform” — the angular one is gentler and still loses to untransformed beta — but </w:t>
      </w:r>
      <w:r>
        <w:rPr>
          <w:b/>
          <w:i w:val="0"/>
        </w:rPr>
        <w:t>do not transform; add a magnitude requirement instead</w:t>
      </w:r>
      <w:r>
        <w:rPr>
          <w:b w:val="0"/>
          <w:i w:val="0"/>
        </w:rPr>
        <w:t>.</w:t>
      </w:r>
    </w:p>
    <w:p>
      <w:pPr>
        <w:jc w:val="center"/>
      </w:pPr>
      <w:r>
        <w:drawing>
          <wp:inline xmlns:a="http://schemas.openxmlformats.org/drawingml/2006/main" xmlns:pic="http://schemas.openxmlformats.org/drawingml/2006/picture">
            <wp:extent cx="5852160" cy="2786743"/>
            <wp:docPr id="5" name="Picture 5"/>
            <wp:cNvGraphicFramePr>
              <a:graphicFrameLocks noChangeAspect="1"/>
            </wp:cNvGraphicFramePr>
            <a:graphic>
              <a:graphicData uri="http://schemas.openxmlformats.org/drawingml/2006/picture">
                <pic:pic>
                  <pic:nvPicPr>
                    <pic:cNvPr id="0" name="Fig10_TransformAmplification.png"/>
                    <pic:cNvPicPr/>
                  </pic:nvPicPr>
                  <pic:blipFill>
                    <a:blip r:embed="rId13"/>
                    <a:stretch>
                      <a:fillRect/>
                    </a:stretch>
                  </pic:blipFill>
                  <pic:spPr>
                    <a:xfrm>
                      <a:off x="0" y="0"/>
                      <a:ext cx="5852160" cy="2786743"/>
                    </a:xfrm>
                    <a:prstGeom prst="rect"/>
                  </pic:spPr>
                </pic:pic>
              </a:graphicData>
            </a:graphic>
          </wp:inline>
        </w:drawing>
      </w:r>
    </w:p>
    <w:p>
      <w:pPr>
        <w:spacing w:after="240"/>
        <w:jc w:val="center"/>
      </w:pPr>
      <w:r>
        <w:rPr>
          <w:b/>
          <w:i w:val="0"/>
          <w:color w:val="606060"/>
          <w:sz w:val="17"/>
        </w:rPr>
        <w:t>Figure 5.</w:t>
      </w:r>
      <w:r>
        <w:rPr>
          <w:b w:val="0"/>
          <w:i/>
          <w:color w:val="606060"/>
          <w:sz w:val="17"/>
        </w:rPr>
        <w:t xml:space="preserve"> Magnification of noise at the measurements each method flags, against reproducibility (left) and against the share of flags running counter to the state (right). Both panels, both tissues, all at the same flag rate.</w:t>
      </w:r>
    </w:p>
    <w:p>
      <w:r>
        <w:br w:type="page"/>
      </w:r>
    </w:p>
    <w:p>
      <w:pPr>
        <w:pStyle w:val="Heading1"/>
      </w:pPr>
      <w:r>
        <w:t>6. What to decide</w:t>
      </w:r>
    </w:p>
    <w:p>
      <w:pPr>
        <w:pStyle w:val="ListNumber"/>
        <w:spacing w:after="60"/>
      </w:pPr>
      <w:r>
        <w:rPr>
          <w:b/>
          <w:i w:val="0"/>
        </w:rPr>
        <w:t>Which fix is the recommendation?</w:t>
      </w:r>
      <w:r>
        <w:rPr>
          <w:b w:val="0"/>
          <w:i w:val="0"/>
        </w:rPr>
        <w:t xml:space="preserve"> The external reference plus a 0.10 floor is the most stable rule and keeps the published method. The state-pooled deviation rule is only slightly behind, needs no reference panel at all, and cannot produce a contrary flag by construction. They answer different questions — “how do I make this published method usable” against “what should replace it” — and the paper can carry both, but only one can lead.</w:t>
      </w:r>
    </w:p>
    <w:p>
      <w:pPr>
        <w:pStyle w:val="ListNumber"/>
        <w:spacing w:after="60"/>
      </w:pPr>
      <w:r>
        <w:rPr>
          <w:b/>
          <w:i w:val="0"/>
        </w:rPr>
        <w:t>Should the bio-stat arm be kept?</w:t>
      </w:r>
      <w:r>
        <w:rPr>
          <w:b w:val="0"/>
          <w:i w:val="0"/>
        </w:rPr>
        <w:t xml:space="preserve"> If it is to be a detector it is ready and it works. If it is a contrast, it should be labelled that way. Leaving it as a third unlabelled column repeats the confusion the earlier state-aware and self-referential columns caused.</w:t>
      </w:r>
    </w:p>
    <w:p>
      <w:pPr>
        <w:pStyle w:val="ListNumber"/>
        <w:spacing w:after="60"/>
      </w:pPr>
      <w:r>
        <w:rPr>
          <w:b/>
          <w:i w:val="0"/>
        </w:rPr>
        <w:t>Probe masking, and what to expect from it.</w:t>
      </w:r>
      <w:r>
        <w:rPr>
          <w:b w:val="0"/>
          <w:i w:val="0"/>
        </w:rPr>
        <w:t xml:space="preserve"> It is still blocking for any biological claim. But §1 predicts it will *move* the contrary flags rather than remove them, because the concentrating sites are concentrated for a geometric reason. Both the before and after numbers should be reported.</w:t>
      </w:r>
    </w:p>
    <w:p>
      <w:pPr>
        <w:pStyle w:val="ListNumber"/>
        <w:spacing w:after="60"/>
      </w:pPr>
      <w:r>
        <w:rPr>
          <w:b/>
          <w:i w:val="0"/>
        </w:rPr>
        <w:t>Per-sample burden.</w:t>
      </w:r>
      <w:r>
        <w:rPr>
          <w:b w:val="0"/>
          <w:i w:val="0"/>
        </w:rPr>
        <w:t xml:space="preserve"> N15, N17, N14 and now N48 lead at every scale. Batch, detection-p, tumour purity and cell composition all remain unexcluded, and a published outlier-burden study found burden strongly confounded by exactly those. Until they are excluded, per-sample burden cannot be interpreted.</w:t>
      </w:r>
    </w:p>
    <w:p>
      <w:pPr>
        <w:pStyle w:val="Heading1"/>
      </w:pPr>
      <w:r>
        <w:t>Appendix — where every number comes from</w:t>
      </w:r>
    </w:p>
    <w:p>
      <w:r>
        <w:rPr>
          <w:b w:val="0"/>
          <w:i w:val="0"/>
        </w:rPr>
        <w:t>Each script has a matching console transcript in Scripts/. Tables naming a sample together with a genomic position are individual-level and stay out of the shared repository; see CLASSIFICATION.md.</w:t>
      </w:r>
    </w:p>
    <w:tbl>
      <w:tblPr>
        <w:tblStyle w:val="TableGrid"/>
        <w:tblW w:type="auto" w:w="0"/>
        <w:jc w:val="center"/>
        <w:tblLook w:firstColumn="1" w:firstRow="1" w:lastColumn="0" w:lastRow="0" w:noHBand="0" w:noVBand="1" w:val="04A0"/>
      </w:tblPr>
      <w:tblGrid>
        <w:gridCol w:w="3216"/>
        <w:gridCol w:w="3216"/>
        <w:gridCol w:w="3216"/>
      </w:tblGrid>
      <w:tr>
        <w:tc>
          <w:tcPr>
            <w:tcW w:type="dxa" w:w="576"/>
            <w:shd w:fill="1F3864"/>
          </w:tcPr>
          <w:p>
            <w:pPr>
              <w:spacing w:after="20"/>
            </w:pPr>
            <w:r/>
            <w:r>
              <w:rPr>
                <w:b/>
                <w:color w:val="FFFFFF"/>
                <w:sz w:val="17"/>
              </w:rPr>
              <w:t>§</w:t>
            </w:r>
          </w:p>
        </w:tc>
        <w:tc>
          <w:tcPr>
            <w:tcW w:type="dxa" w:w="3744"/>
            <w:shd w:fill="1F3864"/>
          </w:tcPr>
          <w:p>
            <w:pPr>
              <w:spacing w:after="20"/>
            </w:pPr>
            <w:r/>
            <w:r>
              <w:rPr>
                <w:b/>
                <w:color w:val="FFFFFF"/>
                <w:sz w:val="17"/>
              </w:rPr>
              <w:t>script</w:t>
            </w:r>
          </w:p>
        </w:tc>
        <w:tc>
          <w:tcPr>
            <w:tcW w:type="dxa" w:w="4752"/>
            <w:shd w:fill="1F3864"/>
          </w:tcPr>
          <w:p>
            <w:pPr>
              <w:spacing w:after="20"/>
            </w:pPr>
            <w:r/>
            <w:r>
              <w:rPr>
                <w:b/>
                <w:color w:val="FFFFFF"/>
                <w:sz w:val="17"/>
              </w:rPr>
              <w:t>output</w:t>
            </w:r>
          </w:p>
        </w:tc>
      </w:tr>
      <w:tr>
        <w:tc>
          <w:tcPr>
            <w:tcW w:type="dxa" w:w="576"/>
          </w:tcPr>
          <w:p>
            <w:pPr>
              <w:spacing w:after="20"/>
            </w:pPr>
            <w:r/>
            <w:r>
              <w:rPr>
                <w:b w:val="0"/>
                <w:sz w:val="17"/>
              </w:rPr>
              <w:t>1</w:t>
            </w:r>
          </w:p>
        </w:tc>
        <w:tc>
          <w:tcPr>
            <w:tcW w:type="dxa" w:w="3744"/>
          </w:tcPr>
          <w:p>
            <w:pPr>
              <w:spacing w:after="20"/>
            </w:pPr>
            <w:r/>
            <w:r>
              <w:rPr>
                <w:b w:val="0"/>
                <w:sz w:val="17"/>
              </w:rPr>
              <w:t>Task29.ContraryFlagDecomposition.Sep03.2026.R</w:t>
            </w:r>
          </w:p>
        </w:tc>
        <w:tc>
          <w:tcPr>
            <w:tcW w:type="dxa" w:w="4752"/>
          </w:tcPr>
          <w:p>
            <w:pPr>
              <w:spacing w:after="20"/>
            </w:pPr>
            <w:r/>
            <w:r>
              <w:rPr>
                <w:b w:val="0"/>
                <w:sz w:val="17"/>
              </w:rPr>
              <w:t>Task29_Window100_ContraryDecomposition / _BySite / _BySample.csv</w:t>
            </w:r>
          </w:p>
        </w:tc>
      </w:tr>
      <w:tr>
        <w:tc>
          <w:tcPr>
            <w:tcW w:type="dxa" w:w="576"/>
          </w:tcPr>
          <w:p>
            <w:pPr>
              <w:spacing w:after="20"/>
            </w:pPr>
            <w:r/>
            <w:r>
              <w:rPr>
                <w:b w:val="0"/>
                <w:sz w:val="17"/>
              </w:rPr>
              <w:t>2</w:t>
            </w:r>
          </w:p>
        </w:tc>
        <w:tc>
          <w:tcPr>
            <w:tcW w:type="dxa" w:w="3744"/>
          </w:tcPr>
          <w:p>
            <w:pPr>
              <w:spacing w:after="20"/>
            </w:pPr>
            <w:r/>
            <w:r>
              <w:rPr>
                <w:b w:val="0"/>
                <w:sz w:val="17"/>
              </w:rPr>
              <w:t>Task30.StatePooledThreshold.Sep03.2026.R</w:t>
            </w:r>
          </w:p>
        </w:tc>
        <w:tc>
          <w:tcPr>
            <w:tcW w:type="dxa" w:w="4752"/>
          </w:tcPr>
          <w:p>
            <w:pPr>
              <w:spacing w:after="20"/>
            </w:pPr>
            <w:r/>
            <w:r>
              <w:rPr>
                <w:b w:val="0"/>
                <w:sz w:val="17"/>
              </w:rPr>
              <w:t>Task30_StatePooled_Thresholds / _QSweep / _Scores.csv</w:t>
            </w:r>
          </w:p>
        </w:tc>
      </w:tr>
      <w:tr>
        <w:tc>
          <w:tcPr>
            <w:tcW w:type="dxa" w:w="576"/>
          </w:tcPr>
          <w:p>
            <w:pPr>
              <w:spacing w:after="20"/>
            </w:pPr>
            <w:r/>
            <w:r>
              <w:rPr>
                <w:b w:val="0"/>
                <w:sz w:val="17"/>
              </w:rPr>
              <w:t>3</w:t>
            </w:r>
          </w:p>
        </w:tc>
        <w:tc>
          <w:tcPr>
            <w:tcW w:type="dxa" w:w="3744"/>
          </w:tcPr>
          <w:p>
            <w:pPr>
              <w:spacing w:after="20"/>
            </w:pPr>
            <w:r/>
            <w:r>
              <w:rPr>
                <w:b w:val="0"/>
                <w:sz w:val="17"/>
              </w:rPr>
              <w:t>Task31.ParameterHeadroom.Sep03.2026.R</w:t>
            </w:r>
          </w:p>
        </w:tc>
        <w:tc>
          <w:tcPr>
            <w:tcW w:type="dxa" w:w="4752"/>
          </w:tcPr>
          <w:p>
            <w:pPr>
              <w:spacing w:after="20"/>
            </w:pPr>
            <w:r/>
            <w:r>
              <w:rPr>
                <w:b w:val="0"/>
                <w:sz w:val="17"/>
              </w:rPr>
              <w:t>Task31_EffectSizeCeiling / _PEnvelope / _PLevelResolution / _DeltVsRelMeth.csv</w:t>
            </w:r>
          </w:p>
        </w:tc>
      </w:tr>
      <w:tr>
        <w:tc>
          <w:tcPr>
            <w:tcW w:type="dxa" w:w="576"/>
          </w:tcPr>
          <w:p>
            <w:pPr>
              <w:spacing w:after="20"/>
            </w:pPr>
            <w:r/>
            <w:r>
              <w:rPr>
                <w:b w:val="0"/>
                <w:sz w:val="17"/>
              </w:rPr>
              <w:t>4</w:t>
            </w:r>
          </w:p>
        </w:tc>
        <w:tc>
          <w:tcPr>
            <w:tcW w:type="dxa" w:w="3744"/>
          </w:tcPr>
          <w:p>
            <w:pPr>
              <w:spacing w:after="20"/>
            </w:pPr>
            <w:r/>
            <w:r>
              <w:rPr>
                <w:b w:val="0"/>
                <w:sz w:val="17"/>
              </w:rPr>
              <w:t>— (LITERATURE.md, sources cited there)</w:t>
            </w:r>
          </w:p>
        </w:tc>
        <w:tc>
          <w:tcPr>
            <w:tcW w:type="dxa" w:w="4752"/>
          </w:tcPr>
          <w:p>
            <w:pPr>
              <w:spacing w:after="20"/>
            </w:pPr>
            <w:r/>
            <w:r>
              <w:rPr>
                <w:b w:val="0"/>
                <w:sz w:val="17"/>
              </w:rPr>
              <w:t>—</w:t>
            </w:r>
          </w:p>
        </w:tc>
      </w:tr>
      <w:tr>
        <w:tc>
          <w:tcPr>
            <w:tcW w:type="dxa" w:w="576"/>
          </w:tcPr>
          <w:p>
            <w:pPr>
              <w:spacing w:after="20"/>
            </w:pPr>
            <w:r/>
            <w:r>
              <w:rPr>
                <w:b w:val="0"/>
                <w:sz w:val="17"/>
              </w:rPr>
              <w:t>5</w:t>
            </w:r>
          </w:p>
        </w:tc>
        <w:tc>
          <w:tcPr>
            <w:tcW w:type="dxa" w:w="3744"/>
          </w:tcPr>
          <w:p>
            <w:pPr>
              <w:spacing w:after="20"/>
            </w:pPr>
            <w:r/>
            <w:r>
              <w:rPr>
                <w:b w:val="0"/>
                <w:sz w:val="17"/>
              </w:rPr>
              <w:t>Task32.ImprovedFlagging.Sep03.2026.R</w:t>
            </w:r>
          </w:p>
        </w:tc>
        <w:tc>
          <w:tcPr>
            <w:tcW w:type="dxa" w:w="4752"/>
          </w:tcPr>
          <w:p>
            <w:pPr>
              <w:spacing w:after="20"/>
            </w:pPr>
            <w:r/>
            <w:r>
              <w:rPr>
                <w:b w:val="0"/>
                <w:sz w:val="17"/>
              </w:rPr>
              <w:t>Task32_MeasuredNoise / _FloorsApplied / _ImprovedMethodScores.csv</w:t>
            </w:r>
          </w:p>
        </w:tc>
      </w:tr>
      <w:tr>
        <w:tc>
          <w:tcPr>
            <w:tcW w:type="dxa" w:w="576"/>
          </w:tcPr>
          <w:p>
            <w:pPr>
              <w:spacing w:after="20"/>
            </w:pPr>
            <w:r/>
            <w:r>
              <w:rPr>
                <w:b w:val="0"/>
                <w:sz w:val="17"/>
              </w:rPr>
              <w:t>figs</w:t>
            </w:r>
          </w:p>
        </w:tc>
        <w:tc>
          <w:tcPr>
            <w:tcW w:type="dxa" w:w="3744"/>
          </w:tcPr>
          <w:p>
            <w:pPr>
              <w:spacing w:after="20"/>
            </w:pPr>
            <w:r/>
            <w:r>
              <w:rPr>
                <w:b w:val="0"/>
                <w:sz w:val="17"/>
              </w:rPr>
              <w:t>Task34.Figures.Sep03.2026.R</w:t>
            </w:r>
          </w:p>
        </w:tc>
        <w:tc>
          <w:tcPr>
            <w:tcW w:type="dxa" w:w="4752"/>
          </w:tcPr>
          <w:p>
            <w:pPr>
              <w:spacing w:after="20"/>
            </w:pPr>
            <w:r/>
            <w:r>
              <w:rPr>
                <w:b w:val="0"/>
                <w:sz w:val="17"/>
              </w:rPr>
              <w:t>Results/Fig8–Fig12*.png</w:t>
            </w:r>
          </w:p>
        </w:tc>
      </w:tr>
    </w:tbl>
    <w:p>
      <w:pPr>
        <w:spacing w:after="6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