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Journal of Financial Markets</w:t>
      </w:r>
    </w:p>
    <w:p>
      <w:r>
        <w:rPr>
          <w:b w:val="0"/>
        </w:rPr>
        <w:t>[Date]</w:t>
      </w:r>
    </w:p>
    <w:p>
      <w:r>
        <w:rPr>
          <w:b w:val="0"/>
        </w:rPr>
      </w:r>
    </w:p>
    <w:p>
      <w:r>
        <w:rPr>
          <w:b w:val="0"/>
        </w:rPr>
        <w:t>Dear Editors,</w:t>
      </w:r>
    </w:p>
    <w:p>
      <w:r>
        <w:rPr>
          <w:b w:val="0"/>
        </w:rPr>
      </w:r>
    </w:p>
    <w:p>
      <w:r>
        <w:rPr>
          <w:b w:val="0"/>
        </w:rPr>
        <w:t>I am submitting "When the Open Overreacts: Measuring Daily Volatility in Frontier Markets without Options — Evidence from Nepal's Pre-Open Band Reform and an Estimator Tested in Four Frontier Markets" for consideration at Journal of Financial Markets.</w:t>
      </w:r>
    </w:p>
    <w:p>
      <w:r>
        <w:rPr>
          <w:b w:val="0"/>
        </w:rPr>
        <w:t>Its scope is market microstructure -- trading mechanisms, call auctions, price limits and price discovery -- and this paper's central evidence concerns an opening call auction and a reform of its price band, analysed as a natural experiment under a frozen plan.</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widening of its pre-open band from +/-2% to +/-5% is used as a natural experiment, under an analysis plan frozen before testing: it produced a sharp break in how much of the open survives to the close, larger than at any of 77 placebo dates, and opens pinned at the old band had been reversed rather than continued -- the narrow band capped overreaction without detectably delaying price discovery.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identifies each estimator's calibration from volatility persistence without a high-frequency benchmark and shows the range estimators' near-unit ratios to be calibration, not offsetting distortions. The earlier results remain: range estimators do not collapse in thin ordinary equity, and apparent estimator failure in a pooled frontier-market universe is largely an instrument-composition artifact. The paper then builds on this evidence: a new daily-bar estimator that weights the overnight move by the open's measured reliability, extends the range to the effective open and calibrates to close-to-close variance, designed on part of the NEPSE sample and tested out of sample under three further frozen plans. No classical range estimator forecasts significantly better than it in any of seven test samples across Nepal, Bangladesh, Vietnam, Morocco and two benchmark indices, and its open-free form passed a test fixed in advance in Morocco.</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 The new estimator does not beat close-to-close at short horizons in the primary panels of three of the four frontier markets, and close-to-close beat it immediately after NEPSE's rule change; those failed predictions are reported as such. Its level on the close-to-close scale comes from its calibration, which the classical estimators can be given too, and its record against close-to-close changes with the loss function; a post hoc recheck reports both.</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