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a Frontier Market without Options</w:t>
      </w:r>
    </w:p>
    <w:p>
      <w:pPr>
        <w:spacing w:after="40"/>
        <w:jc w:val="center"/>
      </w:pPr>
      <w:r>
        <w:rPr>
          <w:rFonts w:ascii="Times New Roman" w:hAnsi="Times New Roman"/>
          <w:b/>
          <w:sz w:val="26"/>
        </w:rPr>
        <w:t>Evidence from a Pre-Open Band Reform on the Nepal Stock Exchange</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and what the bar's opening price contributes to it.</w:t>
      </w:r>
    </w:p>
    <w:p>
      <w:pPr/>
      <w:r>
        <w:rPr>
          <w:b/>
        </w:rPr>
        <w:t xml:space="preserve">Design/methodology/approach: </w:t>
      </w:r>
      <w:r>
        <w:t>Six estimators are evaluated on 143,718 ordinary-equity stock-days (292 securities, March 2024-August 2026) against proxies matched in scope, sample and horizon. Instrumented calibration slopes, identified from volatility persistence without a high-frequency benchmark, separate calibration from offsetting distortions. NEPSE's 20 April 2026 widening of the pre-open band from ±2% to ±5% serves as a natural experiment. Both analyses follow plans frozen before testing.</w:t>
      </w:r>
    </w:p>
    <w:p>
      <w:pPr/>
      <w:r>
        <w:rPr>
          <w:b/>
        </w:rPr>
        <w:t xml:space="preserve">Findings: </w:t>
      </w:r>
      <w:r>
        <w:t>Range estimators are calibrated to the open-to-close proxy (Parkinson slope 0.919 [0.760, 1.056]), but the proxy shares the opening price, and the open is mostly transient: the session undoes 64-87% of the overnight move (unbiasedness coefficient 0.130-0.356). The band widening produced a sharp break: the coefficient fell by 0.333, more than at any of 77 placebo dates. Opens pinned at the old band had already been reversed, so the narrow band capped overreaction without detectably delaying price discovery. Three-quarters of Yang-Zhang's excess over close-to-close variance is the overnight-intraday covariance it assumes away.</w:t>
      </w:r>
    </w:p>
    <w:p>
      <w:pPr/>
      <w:r>
        <w:rPr>
          <w:b/>
        </w:rPr>
        <w:t xml:space="preserve">Originality/value: </w:t>
      </w:r>
      <w:r>
        <w:t>The contribution is evidence rather than a new estimator: a market-design rule determines what daily bars measure, ratio comparisons cannot see it, and close-to-close returns, which never read the open, are the robust benchmark where the open overreacts.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four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and evidence that the market's opening rules shape what its daily bars measure.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apply_round14_revisions.py)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