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Financial Econometrics</w:t>
      </w:r>
    </w:p>
    <w:p>
      <w:r>
        <w:rPr>
          <w:b w:val="0"/>
        </w:rPr>
        <w:t>[Date]</w:t>
      </w:r>
    </w:p>
    <w:p>
      <w:r>
        <w:rPr>
          <w:b w:val="0"/>
        </w:rPr>
      </w:r>
    </w:p>
    <w:p>
      <w:r>
        <w:rPr>
          <w:b w:val="0"/>
        </w:rPr>
        <w:t>Dear Editors,</w:t>
      </w:r>
    </w:p>
    <w:p>
      <w:r>
        <w:rPr>
          <w:b w:val="0"/>
        </w:rPr>
      </w:r>
    </w:p>
    <w:p>
      <w:r>
        <w:rPr>
          <w:b w:val="0"/>
        </w:rPr>
        <w:t>I am submitting "When the Open Overreacts: Measuring Daily Volatility in a Frontier Market without Options — Evidence from a Pre-Open Band Reform on the Nepal Stock Exchange" for consideration at Journal of Financial Econometrics.</w:t>
      </w:r>
    </w:p>
    <w:p>
      <w:r>
        <w:rPr>
          <w:b w:val="0"/>
        </w:rPr>
        <w:t>It publishes research on the measurement of volatility, and this paper identifies daily-bar estimators' calibration from volatility persistence without a high-frequency benchmark and documents a failure of the independence assumption behind Yang-Zhang.</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