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Risk and Financial Management</w:t>
      </w:r>
    </w:p>
    <w:p>
      <w:r>
        <w:rPr>
          <w:b w:val="0"/>
        </w:rPr>
        <w:t>[Date]</w:t>
      </w:r>
    </w:p>
    <w:p>
      <w:r>
        <w:rPr>
          <w:b w:val="0"/>
        </w:rPr>
      </w:r>
    </w:p>
    <w:p>
      <w:r>
        <w:rPr>
          <w:b w:val="0"/>
        </w:rPr>
        <w:t>Dear Editors,</w:t>
      </w:r>
    </w:p>
    <w:p>
      <w:r>
        <w:rPr>
          <w:b w:val="0"/>
        </w:rPr>
      </w:r>
    </w:p>
    <w:p>
      <w:r>
        <w:rPr>
          <w:b w:val="0"/>
        </w:rPr>
        <w:t>I am submitting "When the Open Overreacts: Measuring Daily Volatility in a Frontier Market without Options — Evidence from a Pre-Open Band Reform on the Nepal Stock Exchange" for consideration at Journal of Risk and Financial Management.</w:t>
      </w:r>
    </w:p>
    <w:p>
      <w:r>
        <w:rPr>
          <w:b w:val="0"/>
        </w:rPr>
        <w:t>Its scope covers financial markets, mathematical methods in finance and risk analysis, and it asks for enough methodological detail to reproduce the work -- which this submission supplies in full.</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