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Daily OHLC Volatility Measurement in a Cash-Only Frontier Market</w:t>
      </w:r>
    </w:p>
    <w:p>
      <w:pPr>
        <w:spacing w:after="40"/>
        <w:jc w:val="center"/>
      </w:pPr>
      <w:r>
        <w:rPr>
          <w:rFonts w:ascii="Times New Roman" w:hAnsi="Times New Roman"/>
          <w:b/>
          <w:sz w:val="26"/>
        </w:rPr>
        <w:t>Evidence from the Nepal Stock Exchange</w:t>
      </w:r>
    </w:p>
    <w:p>
      <w:pPr>
        <w:spacing w:after="20"/>
        <w:jc w:val="center"/>
      </w:pPr>
      <w:r>
        <w:rPr>
          <w:rFonts w:ascii="Times New Roman" w:hAnsi="Times New Roman"/>
          <w:sz w:val="23"/>
        </w:rPr>
        <w:t>Anam Giri</w:t>
      </w:r>
    </w:p>
    <w:p>
      <w:pPr>
        <w:spacing w:after="200"/>
        <w:jc w:val="center"/>
      </w:pPr>
      <w:r>
        <w:rPr>
          <w:i/>
          <w:sz w:val="21"/>
        </w:rPr>
        <w:t>Revised manuscript · September 2026</w:t>
      </w:r>
    </w:p>
    <w:p>
      <w:pPr>
        <w:pStyle w:val="Heading1"/>
      </w:pPr>
      <w:r>
        <w:t>Abstract</w:t>
      </w:r>
    </w:p>
    <w:p>
      <w:pPr/>
      <w:r>
        <w:rPr>
          <w:b/>
        </w:rPr>
        <w:t xml:space="preserve">Purpose: </w:t>
      </w:r>
      <w:r>
        <w:t>Nepal has no exchange-traded equity options, so no forward-looking, risk-neutral volatility measure exists for its market. This paper asks what daily open-high-low-close (OHLC) data can measure instead, and how reliable that measurement is under frontier-market constraints.</w:t>
      </w:r>
    </w:p>
    <w:p>
      <w:pPr/>
      <w:r>
        <w:rPr>
          <w:b/>
        </w:rPr>
        <w:t xml:space="preserve">Design/methodology/approach: </w:t>
      </w:r>
      <w:r>
        <w:t>Close-to-close, Parkinson, Garman-Klass, Rogers-Satchell, Yang-Zhang and additive Rogers-Satchell estimators are evaluated on 143,718 ordinary-equity stock-days (292 securities, March 2024-August 2026), each against a proxy matched to its own scope, sample and horizon and classified against a stated +/-5% margin. Instrument classification is validated against an external security master; thinness is screened on lagged trading activity only; uncertainty comes from multiway and stationary block bootstraps; and India VIX is tested as a 30-day-ahead forecast rather than against a trailing window.</w:t>
      </w:r>
    </w:p>
    <w:p>
      <w:pPr/>
      <w:r>
        <w:rPr>
          <w:b/>
        </w:rPr>
        <w:t xml:space="preserve">Findings: </w:t>
      </w:r>
      <w:r>
        <w:t>Range estimators stay close to the matched proxy across the liquidity range (Parkinson 0.93-1.06), including the thinnest stock-days under an outcome-independent screen; an earlier grouping that selected partly on zero-range share had suggested otherwise. Apparent estimator failure in the pooled exchange file is largely instrument composition, not illiquidity. Yang-Zhang, matched on rows, horizon and a corporate-action-adjusted previous close, sits at 1.280. India VIX correlates 0.695 with subsequent close-to-close and 0.630 with subsequent Parkinson volatility, below its correlation with the preceding 30 days; the estimator comparison is inconclusive.</w:t>
      </w:r>
    </w:p>
    <w:p>
      <w:pPr/>
      <w:r>
        <w:rPr>
          <w:b/>
        </w:rPr>
        <w:t xml:space="preserve">Originality/value: </w:t>
      </w:r>
      <w:r>
        <w:t>A targeted search located both index-level and security-level NEPSE research, so no claim is made to introduce security-level volatility analysis to Nepal. The contribution is a reproducible comparison of daily OHLC estimators under NEPSE's own calendar, staleness, thin-trading and closing-rule constraints.</w:t>
      </w:r>
    </w:p>
    <w:p>
      <w:pPr>
        <w:spacing w:after="200"/>
      </w:pPr>
      <w:r>
        <w:rPr>
          <w:b/>
        </w:rPr>
        <w:t>Keywords: frontier markets; volatility measurement; Nepal Stock Exchange; range-based estimators; sample construction; instrument classification; imperfect volatility proxies; implied volatility; Parkinson; Rogers-Satchell; market microstructure</w:t>
      </w:r>
      <w:r/>
    </w:p>
    <w:p>
      <w:pPr>
        <w:spacing w:after="200"/>
      </w:pPr>
      <w:r>
        <w:rPr>
          <w:b/>
        </w:rPr>
        <w:t>JEL Classification: C58, G12, G14, G15,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three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do the answers survive alternative liquidity definitions, alternative inference assumptions, and an external co-movement check?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a transparent primary specification for an ordinary NEPSE equity is the annualized rolling Parkinson or Rogers-Satchell volatility: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and disclose the security's median trade count and zero-range rate, so a reader can see the conditions under which the number was produced.</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the paper states no formal loss function, so it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higher than the 1.288 obtained by matching rows alone. It should not be treated as interchangeable with close-to-close on that evidence. AddRS (1.225) should be treated as a model-dependent alternative, not a default correction. We state no criterion-free ordering because these are deviations from an imperfect proxy, classified against a stated (post hoc) margin, not accuracy against latent variance.</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w:t>
      </w:r>
    </w:p>
    <w:p>
      <w:pPr/>
      <w:r>
        <w:t>Third, the market changed during the sample, including a 2026 trading-week reform and associated rule changes, so future work should model regime shifts more explicitly.</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forecast NEPSE volatility, because Nepal has no options market against which such a test could be run — which is the paper's motivating problem, not a gap in its execution.</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is not modelled here. Patton (2011) shows that ranking estimators on an imperfect proxy can invert the true ranking unless the proxy satisfies conditions we do not verify.</w:t>
      </w:r>
    </w:p>
    <w:p>
      <w:pPr/>
      <w:r>
        <w:t>Ninth, the intervals reported here absorb dependence within securities and within calendar dates. They do not model the measurement error in the proxy itself, so they should be read as a lower bound on total uncertainty rather than as a complete accounting of it.</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reported result from the frozen panels, and can repeat the rebuild only with independent access to the sources.</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r>
        <w:t>The claims should stop there, including the claim to novelty. A targeted search of the Nepali literature located both index-level volatility modelling and a security-level study built from closing prices, so nothing here introduces security-level volatility analysis to Nepal; what it contributes is a reproducible comparison of daily OHLC estimators under this market's own calendar, staleness, thin-trading and closing-rule constraints.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w:t>
      </w:r>
    </w:p>
    <w:p>
      <w:pPr>
        <w:pStyle w:val="Heading1"/>
      </w:pPr>
      <w:r>
        <w:t>Declarations</w:t>
      </w:r>
    </w:p>
    <w:p>
      <w:pPr/>
      <w:r>
        <w:rPr>
          <w:b/>
        </w:rPr>
        <w:t xml:space="preserve">Data availability statement: </w:t>
      </w:r>
      <w:r>
        <w:t>The processed data supporting this study's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paper/apply_referee_revisions.py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w:t>
      </w:r>
      <w:r/>
      <w:r>
        <w:rPr>
          <w:b w:val="0"/>
        </w:rPr>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