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Investment Management and Financial Innovations</w:t>
      </w:r>
    </w:p>
    <w:p>
      <w:r>
        <w:rPr>
          <w:b w:val="0"/>
        </w:rPr>
        <w:t>[Date]</w:t>
      </w:r>
    </w:p>
    <w:p>
      <w:r>
        <w:rPr>
          <w:b w:val="0"/>
        </w:rPr>
      </w:r>
    </w:p>
    <w:p>
      <w:r>
        <w:rPr>
          <w:b w:val="0"/>
        </w:rPr>
        <w:t>Dear Editors,</w:t>
      </w:r>
    </w:p>
    <w:p>
      <w:r>
        <w:rPr>
          <w:b w:val="0"/>
        </w:rPr>
      </w:r>
    </w:p>
    <w:p>
      <w:r>
        <w:rPr>
          <w:b w:val="0"/>
        </w:rPr>
        <w:t>I am submitting "Daily OHLC Volatility Measurement in a Cash-Only Frontier Market: Evidence from the Nepal Stock Exchange" for consideration at Investment Management and Financial Innovations.</w:t>
      </w:r>
    </w:p>
    <w:p>
      <w:r>
        <w:rPr>
          <w:b w:val="0"/>
        </w:rPr>
        <w:t>Its scope covers capital markets, market efficiency and empirical quantitative finance, and it regularly publishes emerging-market price-volatility work.</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Three things. First, a measurement result: range-based estimators do not collapse in thin ordinary equity, and that holds under same-day, security-level and lagged liquidity sorts alike. Second, a methodological result that generalises beyond this market: apparent estimator failure in a pooled frontier-market universe is largely an instrument-composition artifact rather than a microstructure effect, so sample construction can masquerade as an illiquidity finding. Third, a benchmark-scope argument: comparing a within-session estimator to close-to-close variance mechanically manufactures the downward bias that bias corrections are then applied to remove.</w:t>
      </w:r>
    </w:p>
    <w:p>
      <w:r>
        <w:rPr>
          <w:b w:val="0"/>
        </w:rPr>
      </w:r>
    </w:p>
    <w:p>
      <w:r>
        <w:rPr>
          <w:b w:val="0"/>
        </w:rPr>
        <w:t>What the paper does not claim. The open-to-close proxy is imperfect and the latent variance is unobserved, so results are reported as deviations from a matched proxy rather than as accuracy, and no estimator is claimed to dominate generally. The cross-market India VIX exercise is reported as co-movement evidence, not validation; its apparent estimator ordering reverses when a single 2012 flash-crash session is excluded, and the paper says so rather than choosing the ordering it prefers.</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