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Submission to Journal of Risk and Financial Management</w:t>
      </w:r>
    </w:p>
    <w:p>
      <w:r>
        <w:rPr>
          <w:b w:val="0"/>
        </w:rPr>
        <w:t>[Date]</w:t>
      </w:r>
    </w:p>
    <w:p>
      <w:r>
        <w:rPr>
          <w:b w:val="0"/>
        </w:rPr>
      </w:r>
    </w:p>
    <w:p>
      <w:r>
        <w:rPr>
          <w:b w:val="0"/>
        </w:rPr>
        <w:t>Dear Editors,</w:t>
      </w:r>
    </w:p>
    <w:p>
      <w:r>
        <w:rPr>
          <w:b w:val="0"/>
        </w:rPr>
      </w:r>
    </w:p>
    <w:p>
      <w:r>
        <w:rPr>
          <w:b w:val="0"/>
        </w:rPr>
        <w:t>I am submitting "Daily OHLC Volatility Measurement in a Cash-Only Frontier Market: Evidence from the Nepal Stock Exchange" for consideration at Journal of Risk and Financial Management.</w:t>
      </w:r>
    </w:p>
    <w:p>
      <w:r>
        <w:rPr>
          <w:b w:val="0"/>
        </w:rPr>
        <w:t>Its scope covers financial markets, mathematical methods in finance and risk analysis, and it asks for enough methodological detail to reproduce the work -- which this submission supplies in full.</w:t>
      </w:r>
    </w:p>
    <w:p>
      <w:r>
        <w:rPr>
          <w:b w:val="0"/>
        </w:rPr>
      </w:r>
    </w:p>
    <w:p>
      <w:r>
        <w:rPr>
          <w:b w:val="0"/>
        </w:rPr>
        <w:t>What the paper does. Nepal's exchange has no listed equity options, so a VIX-style measure cannot be read from an option chain. The paper asks what can be measured instead from daily open, high, low and close data, and how reliable those measurements are. It evaluates six estimators against proxies matched to each estimator's scope and evaluated on the same observations, on 143,718 stock-days covering 292 ordinary equities.</w:t>
      </w:r>
    </w:p>
    <w:p>
      <w:r>
        <w:rPr>
          <w:b w:val="0"/>
        </w:rPr>
      </w:r>
    </w:p>
    <w:p>
      <w:r>
        <w:rPr>
          <w:b w:val="0"/>
        </w:rPr>
        <w:t>What is new. Three things. First, a measurement result: range-based estimators do not collapse in thin ordinary equity, and that holds under same-day, security-level and lagged liquidity sorts alike. Second, a methodological result that generalises beyond this market: apparent estimator failure in a pooled frontier-market universe is largely an instrument-composition artifact rather than a microstructure effect, so sample construction can masquerade as an illiquidity finding. Third, a benchmark-scope argument: comparing a within-session estimator to close-to-close variance mechanically manufactures the downward bias that bias corrections are then applied to remove.</w:t>
      </w:r>
    </w:p>
    <w:p>
      <w:r>
        <w:rPr>
          <w:b w:val="0"/>
        </w:rPr>
      </w:r>
    </w:p>
    <w:p>
      <w:r>
        <w:rPr>
          <w:b w:val="0"/>
        </w:rPr>
        <w:t>What the paper does not claim. The open-to-close proxy is imperfect and the latent variance is unobserved, so results are reported as deviations from a matched proxy rather than as accuracy, and no estimator is claimed to dominate generally. The cross-market India VIX exercise is reported as co-movement evidence, not validation; its apparent estimator ordering reverses when a single 2012 flash-crash session is excluded, and the paper says so rather than choosing the ordering it prefers.</w:t>
      </w:r>
    </w:p>
    <w:p>
      <w:r>
        <w:rPr>
          <w:b w:val="0"/>
        </w:rPr>
      </w:r>
    </w:p>
    <w:p>
      <w:r>
        <w:rPr>
          <w:b w:val="0"/>
        </w:rPr>
        <w:t>Reproducibility. A complete package accompanies the submission: frozen data, producer scripts, a claim-to-output reproducibility map, an audit register recording defects found and fixed, and a test suite that fails if the manuscript and the package disagree. Every number in the manuscript is interpolated from the frozen output tables by script rather than transcribed.</w:t>
      </w:r>
    </w:p>
    <w:p>
      <w:r>
        <w:rPr>
          <w:b w:val="0"/>
        </w:rPr>
      </w:r>
    </w:p>
    <w:p>
      <w:r>
        <w:rPr>
          <w:b w:val="0"/>
        </w:rPr>
        <w:t>The manuscript is original, is not under consideration elsewhere, and all authors have approved the submission. An anonymised manuscript and a separate title page are included for double-anonymous review.</w:t>
      </w:r>
    </w:p>
    <w:p>
      <w:r>
        <w:rPr>
          <w:b w:val="0"/>
        </w:rPr>
      </w:r>
    </w:p>
    <w:p>
      <w:r>
        <w:rPr>
          <w:b w:val="0"/>
        </w:rPr>
        <w:t>Thank you for your consideration.</w:t>
      </w:r>
    </w:p>
    <w:p>
      <w:r>
        <w:rPr>
          <w:b w:val="0"/>
        </w:rPr>
      </w:r>
    </w:p>
    <w:p>
      <w:r>
        <w:rPr>
          <w:b w:val="0"/>
        </w:rPr>
        <w:t>Sincerely,</w:t>
      </w:r>
    </w:p>
    <w:p>
      <w:r>
        <w:rPr>
          <w:b w:val="0"/>
        </w:rPr>
        <w:t>[Author name and affiliation, on the title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