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the Open Overreacts: Measuring Daily Volatility in Frontier Markets without Options</w:t>
      </w:r>
    </w:p>
    <w:p>
      <w:pPr>
        <w:spacing w:after="40"/>
        <w:jc w:val="center"/>
      </w:pPr>
      <w:r>
        <w:rPr>
          <w:rFonts w:ascii="Times New Roman" w:hAnsi="Times New Roman"/>
          <w:b/>
          <w:sz w:val="26"/>
        </w:rPr>
        <w:t>Evidence from Nepal's Pre-Open Band Reform and an Estimator Tested in Four Frontier Markets</w:t>
      </w:r>
    </w:p>
    <w:p>
      <w:pPr>
        <w:spacing w:after="20"/>
        <w:jc w:val="center"/>
      </w:pPr>
      <w:r>
        <w:rPr>
          <w:rFonts w:ascii="Times New Roman" w:hAnsi="Times New Roman"/>
          <w:sz w:val="23"/>
        </w:rPr>
        <w:t>Anam Giri</w:t>
      </w:r>
    </w:p>
    <w:p>
      <w:pPr>
        <w:spacing w:after="200"/>
        <w:jc w:val="center"/>
      </w:pPr>
      <w:r>
        <w:rPr>
          <w:i/>
          <w:sz w:val="21"/>
        </w:rPr>
        <w:t>Revised manuscript · October 2026</w:t>
      </w:r>
    </w:p>
    <w:p>
      <w:pPr>
        <w:pStyle w:val="Heading1"/>
      </w:pPr>
      <w:r>
        <w:t>Abstract</w:t>
      </w:r>
    </w:p>
    <w:p>
      <w:pPr/>
      <w:r>
        <w:rPr>
          <w:b/>
        </w:rPr>
        <w:t xml:space="preserve">Purpose: </w:t>
      </w:r>
      <w:r>
        <w:t>Nepal has no exchange-traded options and no public intraday data, so volatility must be measured from the daily open-high-low-close bar. This paper asks how reliable that measurement is, what the opening price contributes, and how an estimator should treat an overreacting open.</w:t>
      </w:r>
    </w:p>
    <w:p>
      <w:pPr/>
      <w:r>
        <w:rPr>
          <w:b/>
        </w:rPr>
        <w:t xml:space="preserve">Design/methodology/approach: </w:t>
      </w:r>
      <w:r>
        <w:t>Six estimators are evaluated on 143,718 ordinary-equity stock-days (292 securities, March 2024-August 2026) against matched proxies. Instrumented calibration slopes test for offsetting distortions, and an event study examines the 2026 rule package that widened NEPSE's pre-open band from ±2% to ±5%. A new estimator, designed on NEPSE's first two rule regimes, is tested on later regimes, two indices and stocks from Bangladesh, Vietnam and Morocco, and retested against return-only forecasts. Later analyses follow plans frozen before testing.</w:t>
      </w:r>
    </w:p>
    <w:p>
      <w:pPr/>
      <w:r>
        <w:rPr>
          <w:b/>
        </w:rPr>
        <w:t xml:space="preserve">Findings: </w:t>
      </w:r>
      <w:r>
        <w:t>Unit calibration slopes against the open-to-close proxy are not rejected (Parkinson 0.919 [0.760, 1.056]), but the open is mostly transient: the session undoes 64-87% of the overnight move, and after the rule package the share surviving fell by 0.333, more than at any of 77 placebo dates. Anam's estimator weights the overnight move by the open's measured reliability and calibrates to close-to-close variance. After correction of the evaluation, its open-free form beats close-to-close at five sessions in six of seven samples, but the best range-based forecast beats the best return-only one in only two, and comparisons with close-to-close depend partly on the loss function.</w:t>
      </w:r>
    </w:p>
    <w:p>
      <w:pPr/>
      <w:r>
        <w:rPr>
          <w:b/>
        </w:rPr>
        <w:t xml:space="preserve">Originality/value: </w:t>
      </w:r>
      <w:r>
        <w:t>Opening-auction rule changes coincided with a change in what daily bars measure; an estimator built on that evidence is tested out of sample in four frontier markets.</w:t>
      </w:r>
    </w:p>
    <w:p>
      <w:pPr>
        <w:spacing w:after="200"/>
      </w:pPr>
      <w:r>
        <w:rPr>
          <w:b/>
        </w:rPr>
        <w:t>Keywords: frontier markets; volatility measurement; opening auction; price limits; unbiasedness regression; event study; instrumented calibration; range-based estimators; Yang-Zhang; Nepal Stock Exchange; imperfect volatility proxies; market microstructure; volatility estimator; out-of-sample evaluation</w:t>
      </w:r>
      <w:r/>
    </w:p>
    <w:p>
      <w:pPr>
        <w:spacing w:after="200"/>
      </w:pPr>
      <w:r>
        <w:rPr>
          <w:b/>
        </w:rPr>
        <w:t>JEL Classification: C26, C58, G12, G14, G15, G18, O16</w:t>
      </w:r>
    </w:p>
    <w:p>
      <w:pPr>
        <w:pStyle w:val="Heading1"/>
      </w:pPr>
      <w:r>
        <w:t>1. Introduction</w:t>
      </w:r>
    </w:p>
    <w:p>
      <w:r>
        <w:t>Volatility is one of the basic quantities in finance. It enters portfolio allocation, risk limits, Value at Risk, position sizing, forecasting, and derivative pricing. In developed markets, investors can observe both realized price variation and a forward-looking volatility signal embedded in option prices. The best-known example is the VIX, which uses S&amp;P 500 option prices to summarize the market's risk-neutral expectation of near-term variance. Frontier markets often do not have this second source of information. Frontier and emerging equity markets carry elevated and time-varying volatility (Bekaert &amp; Harvey, 1997) and thinner liquidity that itself commands a return premium (Bekaert, Harvey, &amp; Lundblad, 2007; Lesmond, 2005), which is part of why a measurement framework built for developed markets need not transfer directly. As of 2026, the Nepal Stock Exchange (NEPSE) remains a cash market without exchange-traded stock or index options and futures, so there is no option chain from which to infer an implied-volatility surface or a Nepalese VIX-style index (The Kathmandu Post, 2026).</w:t>
      </w:r>
    </w:p>
    <w:p>
      <w:r>
        <w:t>The absence of options creates a measurement problem, but it does not make volatility unmeasurable. It changes the object that can be estimated. From cash-market prices, researchers can estimate historical or realized volatility: the amount of variation that actually occurred in observed prices. They cannot, from those prices alone, recover the same risk-neutral, forward-looking expectation that an option-implied measure contains. This distinction is central. A good historical estimator can be an informative risk measure and a forecasting input, but it is not a synthetic option market.</w:t>
      </w:r>
    </w:p>
    <w:p>
      <w:r>
        <w:t>The simplest historical estimator uses the standard deviation of close-to-close returns. That approach is easy to calculate, but it discards most of the information contained in each trading session. Range-based estimators use the daily high and low, and in some cases the open and close, to extract more information from the same daily bar. Parkinson (1980), Garman and Klass (1980), Rogers and Satchell (1991), and Yang and Zhang (2000) provide a family of range-based estimators built for this purpose, in the realized-volatility-measurement tradition surveyed by Andersen and Bollerslev (1998), Andersen et al. (2003) and Barndorff-Nielsen and Shephard (2002), and extended by Alizadeh et al. (2002), Christensen and Podolskij (2007), Martens and van Dijk (2007) and Molnár (2012). These methods are attractive for a market such as Nepal because daily OHLC data are much easier to obtain consistently than tick-level or high-frequency data.</w:t>
      </w:r>
    </w:p>
    <w:p>
      <w:r>
        <w:t>However, frontier markets introduce complications that are less important in dense developed markets. A reported daily high and low may be based on only a handful of transactions, the microstructure-noise concern documented by Hansen and Lunde (2006) and Zhang et al. (2005). Stale prices can create zero returns or zero ranges, the nonsynchronous-trading problem analysed by Scholes and Williams (1977) and Lo and MacKinlay (1990), and can widen effective spreads in the sense measured by Roll (1984), Corwin and Schultz (2012) and Ardia et al. (2024). Price limits and auction rules can constrain observed prices or shift where variation appears in the daily bar. The trading week can change. Most importantly in the NEPSE data used here, the exchange's daily file places ordinary equities, corporate debentures, closed-end funds, and restricted promoter shares in the same table without an instrument-type field. A mechanically constructed 'thin-market' sample can therefore become a sample of different asset classes rather than a sample of thinly traded common stocks.</w:t>
      </w:r>
    </w:p>
    <w:p>
      <w:r>
        <w:t>This paper asks five questions, and the empirical sections answer them in order. First, do range estimators remain informative for ordinary NEPSE equities as liquidity declines? Second, how much of the apparent estimator failure in a frontier market arises from instrument composition and from benchmark mismatch rather than from illiquidity? Third, when an estimator agrees with its matched proxy, is that agreement calibration, or two distortions cancelling? Fourth, what does the opening price, which every within-session estimator and the proxy itself read, actually measure? Fifth, can an estimator built for an unreliable open measure volatility better than the classical ones, in Nepal and in other frontier markets? Answering them yields a contribution that should be stated narrowly, because a targeted search of the Nepali literature — logged, screened and reconciled in the accompanying package — shows what is and is not new here. That search located 3 usable studies and could not retrieve 8 further records, so it supports statements about what it found and not about the literature as a whole. Among what it found, NEPSE volatility has been studied at the index level with GARCH-family and regime-switching models (Dangal &amp; Gajurel, 2021; Karki, 2026), and at the security level: Neupane, Neupane and Baral (2022) examine daily stock return volatility for a single listed bank over 2010-2021, relating it to trading volume, price and frequency. This paper therefore makes no claim to introduce security-level volatility analysis to Nepal. What it contributes instead is a measurement contribution: a reproducible comparison of daily OHLC volatility estimators — close-to-close, Parkinson, Garman-Klass, Rogers-Satchell, Yang-Zhang and an additive correction — each against a proxy matched to its own scope, sample and horizon, under NEPSE's own calendar, staleness, thin-trading and closing-rule constraints. The security-level work the search located uses closing prices alone and asks an association question about volume and volatility; the question here is how to measure volatility from the daily high, low and open as well as the close, and which of those estimators survives contact with a frontier market's data. That addresses a measurement question not identified in the targeted search, which is a weaker and more honest statement than a claim of novelty. The third and fourth questions add two things the comparison alone could not supply: a calibration test that identifies how each estimator responds to latent variance without a high-frequency benchmark, and evidence, from a change in the exchange's own opening rules, on what the daily bar's opening price measures. The fifth adds a constructive answer: an estimator designed on part of the NEPSE sample and tested out of sample, under frozen plans, in Nepal, two benchmark indices and three other frontier markets, and retested against return-only forecasts after an independent audit corrected the forecast evaluation. The correct question is not simply 'Which volatility formula should Nepal use?' but 'Which volatility object is being measured, from which securities, over which part of the day, and under what market microstructure?' Throughout, we describe results as deviations from a matched proxy rather than as accuracy, because the latent variance is unobserved and the proxy is imperfect.</w:t>
      </w:r>
    </w:p>
    <w:p>
      <w:pPr/>
      <w:r>
        <w:t>The fourth answer turns out to matter most. NEPSE's opening price is mostly transient: the trading session undoes between 64% and 87% of the overnight move under every rule regime in the sample. The error belongs to each security's own auction: in a post hoc split, the market-wide part of the opening move shows no detectable reversal, and on the NIFTY 50 index, which also averages over its constituents, the session undoes 7%. When the exchange widened its pre-open price band on 20 April 2026, in a package of rule changes made on the same date, the share of the opening move that survives to the close fell sharply, by more than at any of 77 placebo dates; and opens pinned at the old band had been reversed rather than continued, which is consistent with the narrow band capping overreaction rather than delaying price discovery, although the band's separate effect is not identified. For measurement, this means that every estimator reading the open inherits its error. A unit calibration slope of the range estimators on the open-to-close proxy is not rejected, under instruments whose validity is assumed, but that is calibration to a benchmark that shares the same error. Three-quarters of Yang-Zhang's excess over close-to-close variance is the overnight-intraday covariance it assumes away. And the close-to-close return, which never reads the open, is the benchmark that survives. Both analyses were run under plans frozen before their results existed, and the predictions that failed are reported with the ones that held.</w:t>
      </w:r>
    </w:p>
    <w:p>
      <w:pPr/>
      <w:r>
        <w:t>The fifth answer builds on the fourth. If the open is mostly transient, an estimator should read it only as far as it is reliable, and should measure how far that is. The estimator of Section 6.8, which we call Anam's estimator, estimates the open's unbiasedness coefficient from the cross-section's recent history, weights the overnight move by it, extends the day's range to the effective open that the coefficient implies, blends in close-to-close variance as the open degrades, and calibrates the result to close-to-close variance across the cross-section. It was designed on NEPSE's first two rule regimes, with Section 6.7's findings for the whole NEPSE sample already known, and then evaluated under three plans frozen before their results existed: on NEPSE's later regimes, the NIFTY 50 and S&amp;P 500 indices, and stock panels from Bangladesh, Vietnam and Morocco. Under the loss function the plans fixed, no classical range estimator had significantly lower loss than it in any of the seven test samples. Its calibrated level stays within 1.1% of close-to-close variance everywhere except NEPSE's post-reform regime; uncalibrated, the classical estimators overstate that level by up to 71% and understate it by up to 55% on the same samples, but given the same calibration they come within 2.2%, so the level is the calibration's doing rather than the estimator's. It does not beat close-to-close itself at short horizons in Nepal, Vietnam or the recent Dhaka panel, as the plans had predicted it would, and close-to-close beats it after NEPSE's band reform; the failed predictions are reported as failures. Its open-free form, which reads only the previous close, the high, the low and the close, had the lowest five-session forecast loss of the plans' nine estimators in every frontier-market panel of the second plan, a post hoc reading, and then passed a test fixed in advance in Morocco. A post hoc recheck finds the comparisons with the classical range estimators robust to the choice of standard errors, and those with close-to-close dependent on the loss function (Table 37). An independent audit then found four defects in the plans' forecast evaluation, and a corrected evaluation, frozen before it was run, narrows the record (Table 39). A classical range estimator now has significantly lower loss than the estimator in one of 84 comparisons, and than its open-free form in none, and the open-free form beats close-to-close at five sessions in six of the seven samples. But forecasts built from returns alone, GARCH-type models or a HAR model of squared returns, are about as accurate: the best range-based forecast beats the best of them only in the long Dhaka history and in Morocco.</w:t>
      </w:r>
    </w:p>
    <w:p>
      <w:pPr>
        <w:pStyle w:val="Heading1"/>
      </w:pPr>
      <w:r>
        <w:t>2. What Changes When There Is No Options Market?</w:t>
      </w:r>
    </w:p>
    <w:p>
      <w:r>
        <w:t>In a market with actively traded options, implied volatility is obtained by taking an option pricing relation and solving for the volatility parameter that makes the model price equal the observed market price. The result is forward-looking in the sense that it reflects prices for future-contingent claims. It is also a risk-neutral quantity: it embeds both expected future variation and the compensation investors demand for bearing volatility risk. Historical volatility, by contrast, is computed from realized spot-market prices and is a statistical property of past returns.</w:t>
      </w:r>
    </w:p>
    <w:p>
      <w:r>
        <w:t>The two measures are related but not interchangeable. A historical estimator can track the same volatility state that influences option prices, yet it need not equal implied volatility because option prices contain expectations and risk premia. This is why the cross-market India VIX exercise in Section 6 is treated as external co-movement evidence rather than as an identity test or as validation of estimator accuracy. A strong correlation supports the usefulness of OHLC-based volatility as a state variable; it does not turn it into implied volatility, and it cannot rank two historical estimators against each other.</w:t>
      </w:r>
    </w:p>
    <w:p>
      <w:r>
        <w:t>For a cash-only market, the practical objective should therefore be stated as follows: estimate the current and recent variance of the traded price process as efficiently and robustly as possible, then use a separate forecasting model if a forward-looking estimate is needed. The measurement layer and the forecasting layer should not be conflated. The present paper concentrates on the measurement layer.</w:t>
      </w:r>
    </w:p>
    <w:p>
      <w:pPr>
        <w:pStyle w:val="Heading1"/>
      </w:pPr>
      <w:r>
        <w:t>3. Data and NEPSE Market Setting</w:t>
      </w:r>
    </w:p>
    <w:p>
      <w:r>
        <w:t>The principal stock panel covers March 4, 2024 through August 26, 2026 and contains 569 trading sessions and 520 securities. The immediately preceding cleaned trading panel contains 521 securities; one security drops out under the analysis screens. After instrument classification, 292 ordinary equities contribute 143,718 stock-days. The pooled analysis file also contains closed-end mutual funds, corporate debentures, and restricted promoter shares. A separate NEPSE index series provides daily OHLC observations, while NIFTY 50 OHLC data and India VIX provide an external developed-market comparison over 2010-2026.</w:t>
      </w:r>
    </w:p>
    <w:p>
      <w:r>
        <w:t>The cleaning protocol is deliberately conservative, and its thresholds are stated numerically rather than by name. The screens are, in order: all four prices strictly positive; absolute log close-to-close return below 0.5, which removes splits and transcription errors; and a rules-derived feasible range ceiling, ln(H/L) ≤ ln((1+L)/(1−L)) for the daily price limit L in force, giving 0.2007 under the ±10% regime and 0.3023 under the ±15% regime. The range ceiling screens what a return filter cannot: a corrupted high or low leaves the close untouched, passes every return-based test, and contaminates exactly the input a range estimator consumes. Four rows fail it, and one security is removed entirely. An OHLC record must also satisfy High ≥ max(Open, Close) and Low ≤ min(Open, Close). When an envelope inconsistency occurs, the high and low are widened to include the reported open and close while the original values are retained and the record is flagged; in the final ordinary-equity sample only 122 rows, approximately 0.09%, require this repair, and Section 6.5 reports that excluding them rather than repairing them changes no estimator ratio by more than 0.0001.</w:t>
      </w:r>
    </w:p>
    <w:p>
      <w:pPr/>
      <w:r>
        <w:t>Duplicate reconciliation is explicit as well, and the two panels are audited separately. The historical long-form source panel contains 640 duplicated (security, date) keys: 622 exact-duplicate keys comprising 1,296 physical rows and 18 keys with conflicting OHLC values comprising 36 rows. Exact duplicates are collapsed to one record, removing 674 redundant rows; conflicting-OHLC keys are excluded in full, removing 36 rows rather than choosing a record by file order. The reconciliation script verifies that the exact duplicates also agree on volume and turnover. In total the duplicate rule removes 710 physical rows from that raw long-form panel. The 2024-2026 daily-trades panel that carries the paper's main equity estimates is a different file and is audited separately under the same classification rule: it contains 286,994 security-date keys in 286,994 rows, that is, exactly one row per key and no duplicated keys of any class. Because there are none, the ordering of the source files cannot have influenced which record survived. This audit is emitted with an explicit zero for every duplicate class rather than as an empty file, so its absence of conflicts is a reported result rather than an assumption.</w:t>
      </w:r>
    </w:p>
    <w:p>
      <w:r>
        <w:t>The calendar also matters, and April 2026 contains two distinct reforms that must not be dated as one. NEPSE historically traded Sunday through Thursday and moved to a Monday-through-Friday week effective April 6, 2026, following the Cabinet decision of April 5 that made Saturday and Sunday the weekly public holidays. Separately, on April 20, 2026 the daily price limit widened from ±10% to ±15%, the pre-open band from ±2% to ±5%, and the market-wide circuit breaker became two-tier, with higher thresholds; the same amendment widened the band within which continuous-session orders may be priced from ±2% to ±3% of the prevailing price, and let orders entered before the session be queued for the open (The Himalayan Times, 2026). The first reform changes which weekdays are sessions; the second changes how far a price may move within one. An earlier version of this project used April 20 for both, which placed the fortnight of April 6-19 under the wrong weekday regime. The project detects genuine sessions from the data and cross-checks them against the documented weekday regime rather than hard-coding a calendar, so the detected sample is unaffected by that error; what the correction changes is the cross-check, under which the Friday sessions of April 10 and 17 are no longer recorded as off-schedule and the Sundays of April 12 and 19 are no longer recorded as inferred holidays rather than weekend days. The distinction matters for overnight returns and for annualization. A fixed 252-day convention, standard in many developed-market applications, should not be imposed automatically on a market with a different holiday and session structure; Section 7.1 reports the value implied by NEPSE's own calendar. A third rule change concerns the close. From 20 March to 21 September 2025 the official closing price was the volume-weighted average of the session's final fifteen minutes rather than the last trade; the regime is dated from the data, where 85.4% of closes inside it lie off the exchange's 0.1-rupee price grid, against at most 0.01% in any other period (a post hoc descriptive check). Sections 6.6 and 6.7 use the four regimes these dates define. They exclude one early-closing session, 18 September 2025, on which trading resumed after the September 2025 market halt and, in the same post hoc check, 74% of opens sat at the band.</w:t>
      </w:r>
    </w:p>
    <w:p>
      <w:pPr/>
      <w:r>
        <w:t>Instrument classification deserves its own statement, because the paper's central empirical contrast depends on it. NEPSE's daily file carries no instrument-type field, so type is recovered from the ticker convention and validated against par value, which differs by class (funds at 10, ordinary equity and promoter shares at 100, debentures at 1,000). A rule of that kind cannot carry a headline result on its own, so it is reconciled against an external NEPSE security master listing instrument categories for currently listed securities. Of the 521 securities in the cleaned panel, 511 appear in the master and the two classifiers agree on 99.61% of them; the confusion matrix is reported in Table 9. Two securities disagree, and the master governs both. ADBLB, the 4% Agricultural Bond, is a debenture that the ticker rule read as ordinary equity — it is also, as it happens, the single security the analysis screens already removed, so no reported result was ever computed with a bond inside the equity universe. NADEP, an ordinary microfinance equity, was wrongly excluded as a promoter share by a pattern matching the trailing letter of its name. Correcting both moves the estimation universe from 291 securities and 143,149 stock-days to 292 and 143,718. Ten securities delisted, merged or renamed during the sample do not appear in the master, which lists current securities only, and retain their rule-based classification; they are listed in the package, and Table 17 shows that omitting all ten changes the headline Parkinson ratio by only 0.0003, so the composition result does not depend on this coverage gap. The agreement rate is the substantive point: an independent listing reproduces the classification on which Section 5.1 depends, so the composition result cannot be an artifact of the heuristic. Two further checks in Section 6.5 bear on data quality rather than classification: the equity panel is 99.4% filled once a security's own listing window rather than the full calendar grid is the denominator (Table 10), and the detected trading calendar agrees with an independently sourced session record on 99.8% of dates and is unchanged across the full range of plausible staleness thresholds (Table 16).</w:t>
      </w:r>
    </w:p>
    <w:p>
      <w:pPr>
        <w:spacing w:after="80"/>
        <w:jc w:val="left"/>
      </w:pPr>
      <w:r>
        <w:rPr>
          <w:rFonts w:ascii="Times New Roman" w:hAnsi="Times New Roman"/>
          <w:b/>
          <w:sz w:val="21"/>
        </w:rPr>
        <w:t>Table 1. Data used in the empirical analysis</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2232"/>
            <w:vAlign w:val="center"/>
            <w:shd w:fill="D9EAF7"/>
          </w:tcPr>
          <w:p>
            <w:pPr>
              <w:spacing w:after="0" w:before="0"/>
              <w:jc w:val="center"/>
            </w:pPr>
            <w:r>
              <w:t>Dataset</w:t>
            </w:r>
            <w:r>
              <w:rPr>
                <w:rFonts w:ascii="Times New Roman" w:hAnsi="Times New Roman" w:eastAsia="Times New Roman"/>
                <w:b/>
                <w:sz w:val="18"/>
              </w:rPr>
            </w:r>
          </w:p>
        </w:tc>
        <w:tc>
          <w:tcPr>
            <w:tcW w:type="dxa" w:w="3168"/>
            <w:vAlign w:val="center"/>
            <w:shd w:fill="D9EAF7"/>
          </w:tcPr>
          <w:p>
            <w:pPr>
              <w:spacing w:after="0" w:before="0"/>
              <w:jc w:val="center"/>
            </w:pPr>
            <w:r>
              <w:t>Period / size</w:t>
            </w:r>
            <w:r>
              <w:rPr>
                <w:rFonts w:ascii="Times New Roman" w:hAnsi="Times New Roman" w:eastAsia="Times New Roman"/>
                <w:b/>
                <w:sz w:val="18"/>
              </w:rPr>
            </w:r>
          </w:p>
        </w:tc>
        <w:tc>
          <w:tcPr>
            <w:tcW w:type="dxa" w:w="3888"/>
            <w:vAlign w:val="center"/>
            <w:shd w:fill="D9EAF7"/>
          </w:tcPr>
          <w:p>
            <w:pPr>
              <w:spacing w:after="0" w:before="0"/>
              <w:jc w:val="center"/>
            </w:pPr>
            <w:r>
              <w:t>Use in this paper</w:t>
            </w:r>
            <w:r>
              <w:rPr>
                <w:rFonts w:ascii="Times New Roman" w:hAnsi="Times New Roman" w:eastAsia="Times New Roman"/>
                <w:b/>
                <w:sz w:val="18"/>
              </w:rPr>
            </w:r>
          </w:p>
        </w:tc>
      </w:tr>
      <w:tr>
        <w:tc>
          <w:tcPr>
            <w:tcW w:type="dxa" w:w="3216"/>
          </w:tcPr>
          <w:p>
            <w:r>
              <w:t>NEPSE main analysis panel (after screens)</w:t>
            </w:r>
          </w:p>
        </w:tc>
        <w:tc>
          <w:tcPr>
            <w:tcW w:type="dxa" w:w="3216"/>
          </w:tcPr>
          <w:p>
            <w:r>
              <w:t>2024-03-04 to 2026-08-26; 520 securities</w:t>
            </w:r>
          </w:p>
        </w:tc>
        <w:tc>
          <w:tcPr>
            <w:tcW w:type="dxa" w:w="3216"/>
          </w:tcPr>
          <w:p>
            <w:r>
              <w:t>Main OHLC and liquidity analysis</w:t>
            </w:r>
          </w:p>
        </w:tc>
      </w:tr>
      <w:tr>
        <w:tc>
          <w:tcPr>
            <w:tcW w:type="dxa" w:w="3216"/>
          </w:tcPr>
          <w:p>
            <w:r>
              <w:t>NEPSE ordinary-equity subset</w:t>
            </w:r>
          </w:p>
        </w:tc>
        <w:tc>
          <w:tcPr>
            <w:tcW w:type="dxa" w:w="3216"/>
          </w:tcPr>
          <w:p>
            <w:r>
              <w:t>292 equities; 143,718 stock-days</w:t>
            </w:r>
          </w:p>
        </w:tc>
        <w:tc>
          <w:tcPr>
            <w:tcW w:type="dxa" w:w="3216"/>
          </w:tcPr>
          <w:p>
            <w:r>
              <w:t>Primary estimation universe</w:t>
            </w:r>
          </w:p>
        </w:tc>
      </w:tr>
      <w:tr>
        <w:tc>
          <w:tcPr>
            <w:tcW w:type="dxa" w:w="3216"/>
          </w:tcPr>
          <w:p>
            <w:r>
              <w:t>NEPSE index</w:t>
            </w:r>
          </w:p>
        </w:tc>
        <w:tc>
          <w:tcPr>
            <w:tcW w:type="dxa" w:w="3216"/>
          </w:tcPr>
          <w:p>
            <w:r>
              <w:t>2,296 usable sessions</w:t>
            </w:r>
          </w:p>
        </w:tc>
        <w:tc>
          <w:tcPr>
            <w:tcW w:type="dxa" w:w="3216"/>
          </w:tcPr>
          <w:p>
            <w:r>
              <w:t>Aggregate-market comparison</w:t>
            </w:r>
          </w:p>
        </w:tc>
      </w:tr>
      <w:tr>
        <w:tc>
          <w:tcPr>
            <w:tcW w:type="dxa" w:w="3216"/>
          </w:tcPr>
          <w:p>
            <w:r>
              <w:t>NIFTY 50</w:t>
            </w:r>
          </w:p>
        </w:tc>
        <w:tc>
          <w:tcPr>
            <w:tcW w:type="dxa" w:w="3216"/>
          </w:tcPr>
          <w:p>
            <w:r>
              <w:t>4,037 sessions, 2010-2026</w:t>
            </w:r>
          </w:p>
        </w:tc>
        <w:tc>
          <w:tcPr>
            <w:tcW w:type="dxa" w:w="3216"/>
          </w:tcPr>
          <w:p>
            <w:r>
              <w:t>Cross-market implementation check</w:t>
            </w:r>
          </w:p>
        </w:tc>
      </w:tr>
      <w:tr>
        <w:tc>
          <w:tcPr>
            <w:tcW w:type="dxa" w:w="3216"/>
          </w:tcPr>
          <w:p>
            <w:r>
              <w:t>India VIX</w:t>
            </w:r>
          </w:p>
        </w:tc>
        <w:tc>
          <w:tcPr>
            <w:tcW w:type="dxa" w:w="3216"/>
          </w:tcPr>
          <w:p>
            <w:r>
              <w:t>4,036 raw; 3,999 after 21-session matching</w:t>
            </w:r>
          </w:p>
        </w:tc>
        <w:tc>
          <w:tcPr>
            <w:tcW w:type="dxa" w:w="3216"/>
          </w:tcPr>
          <w:p>
            <w:r>
              <w:t>Options-based external co-movement check</w:t>
            </w:r>
          </w:p>
        </w:tc>
      </w:tr>
    </w:tbl>
    <w:p>
      <w:pPr>
        <w:spacing w:after="40"/>
      </w:pPr>
    </w:p>
    <w:p>
      <w:pPr>
        <w:pStyle w:val="Heading1"/>
      </w:pPr>
      <w:r>
        <w:t>4. Volatility Estimators Available Without Options</w:t>
      </w:r>
    </w:p>
    <w:p>
      <w:r>
        <w:t>Let O_t, H_t, L_t, and C_t denote the opening, high, low, and closing price for trading session t, and let C_{t-1} be the previous genuine session's close. All formulas below first estimate daily variance. A rolling volatility measure is then formed by averaging daily variance over a chosen window and taking the square root. Annualization should use A, the number of genuine exchange sessions per year or an explicitly defined calendar estimate, rather than assuming A = 252.</w:t>
      </w:r>
    </w:p>
    <w:p>
      <w:pPr>
        <w:pStyle w:val="Heading2"/>
      </w:pPr>
      <w:r>
        <w:t>4.1 Close-to-close volatility</w:t>
      </w:r>
    </w:p>
    <w:p>
      <w:r>
        <w:t>The standard baseline uses log close-to-close returns r_t = ln(C_t/C_{t-1}). For a window of w sessions, historical volatility is the sample standard deviation of those returns.</w:t>
      </w:r>
    </w:p>
    <w:p>
      <w:pPr>
        <w:spacing w:before="60" w:after="120"/>
        <w:jc w:val="center"/>
      </w:pPr>
      <w:r>
        <w:rPr>
          <w:rFonts w:ascii="Cambria Math" w:hAnsi="Cambria Math"/>
          <w:sz w:val="22"/>
        </w:rPr>
        <w:t>σ̂_CC,annual = √A × SD(r_t over the previous w sessions)</w:t>
      </w:r>
    </w:p>
    <w:p>
      <w:r>
        <w:t>Its advantage is robustness to errors in the reported high and low. Its disadvantage is statistical inefficiency: it uses one endpoint movement and ignores the intraday path.</w:t>
      </w:r>
    </w:p>
    <w:p>
      <w:pPr>
        <w:pStyle w:val="Heading2"/>
      </w:pPr>
      <w:r>
        <w:t>4.2 Parkinson estimator</w:t>
      </w:r>
    </w:p>
    <w:p>
      <w:r>
        <w:t>Parkinson (1980) uses only the daily high-low range. Under its maintained continuous-path, zero-drift model, the range contains substantially more information about variance than a single close-to-close return.</w:t>
      </w:r>
    </w:p>
    <w:p>
      <w:pPr>
        <w:spacing w:before="60" w:after="120"/>
        <w:jc w:val="center"/>
      </w:pPr>
      <w:r>
        <w:rPr>
          <w:rFonts w:ascii="Cambria Math" w:hAnsi="Cambria Math"/>
          <w:sz w:val="22"/>
        </w:rPr>
        <w:t>v̂_P,t = [ln(H_t/L_t)]² / (4 ln 2)</w:t>
      </w:r>
    </w:p>
    <w:p>
      <w:r>
        <w:t>For a rolling window, annualized volatility can be reported as √(A × mean(v̂_P,t)). In a thin market, the main danger is that the observed high and low are the extremes of a small number of trades rather than the extremes of a continuously observed path. If H_t = L_t, the Parkinson estimate is exactly zero.</w:t>
      </w:r>
    </w:p>
    <w:p>
      <w:pPr>
        <w:pStyle w:val="Heading2"/>
      </w:pPr>
      <w:r>
        <w:t>4.3 Garman-Klass estimator</w:t>
      </w:r>
    </w:p>
    <w:p>
      <w:r>
        <w:t>The simplified Garman-Klass estimator combines the range with the open-to-close move:</w:t>
      </w:r>
    </w:p>
    <w:p>
      <w:pPr>
        <w:spacing w:before="60" w:after="120"/>
        <w:jc w:val="center"/>
      </w:pPr>
      <w:r>
        <w:rPr>
          <w:rFonts w:ascii="Cambria Math" w:hAnsi="Cambria Math"/>
          <w:sz w:val="22"/>
        </w:rPr>
        <w:t>v̂_GK,t = 0.5[ln(H_t/L_t)]² − (2 ln 2 − 1)[ln(C_t/O_t)]²</w:t>
      </w:r>
    </w:p>
    <w:p>
      <w:r>
        <w:t>It can be more efficient than close-to-close variance when its assumptions are reasonable. Importantly, on a valid OHLC bar this simplified expression is non-negative. A negative estimate is therefore a data-quality warning rather than an economic feature of thin trading.</w:t>
      </w:r>
    </w:p>
    <w:p>
      <w:pPr>
        <w:pStyle w:val="Heading2"/>
      </w:pPr>
      <w:r>
        <w:t>4.4 Rogers-Satchell estimator</w:t>
      </w:r>
    </w:p>
    <w:p>
      <w:r>
        <w:t>Rogers and Satchell (1991) construct an estimator that is independent of drift under a continuously observed Brownian-motion model. Define u_t = ln(H_t/O_t), d_t = ln(L_t/O_t), and c_t = ln(C_t/O_t). Then</w:t>
      </w:r>
    </w:p>
    <w:p>
      <w:pPr>
        <w:spacing w:before="60" w:after="120"/>
        <w:jc w:val="center"/>
      </w:pPr>
      <w:r>
        <w:rPr>
          <w:rFonts w:ascii="Cambria Math" w:hAnsi="Cambria Math"/>
          <w:sz w:val="22"/>
        </w:rPr>
        <w:t>v̂_RS,t = u_t(u_t − c_t) + d_t(d_t − c_t)</w:t>
      </w:r>
    </w:p>
    <w:p>
      <w:r>
        <w:t>The drift-independence is useful in equity markets, but it does not make the estimator immune to discretization. If very few trades occur, the reported extrema can still miss path variation. Rogers-Satchell can also equal zero on monotone sessions even when the price moved, which is a known property of the formula rather than automatically a bad record.</w:t>
      </w:r>
    </w:p>
    <w:p>
      <w:pPr>
        <w:pStyle w:val="Heading2"/>
      </w:pPr>
      <w:r>
        <w:t>4.5 Yang-Zhang and overnight variation</w:t>
      </w:r>
    </w:p>
    <w:p>
      <w:r>
        <w:t>The Parkinson, Garman-Klass, and Rogers-Satchell daily formulas primarily describe the within-session path. If the research objective is total daily risk, overnight gaps must also be included. Yang and Zhang (2000) combine an overnight variance term, an open-to-close variance term, and a Rogers-Satchell component. With an n-session window, its weight is k = 0.34/[1.34 + (n+1)/(n-1)]. The construction treats the overnight and open-to-close returns as independent; Section 6.7 shows that in NEPSE they are strongly negatively correlated, because the opening price overreacts, and that this covariance accounts for most of Yang-Zhang's distance from close-to-close variance. The estimator is attractive when overnight price discovery is economically important, but it requires a correct session calendar, because the previous close must mean the close of the previous genuine trading session. That requirement binds here rather than being a formality. A security that does not trade on a session leaves a gap in its own rows, and taking the previous observed row instead would treat the gap as a single overnight move: in the ordinary-equity panel 230 row transitions skip more than one detected session and the largest skips 91. Our implementation therefore returns a missing value across any such gap, so Yang-Zhang is defined on 135,899 stock-days rather than on the full sample. A second correction concerns the previous close on rows that do not span a gap. NEPSE's supplied prev_close column disagrees with the prior observed row's close on 315 ordinary-equity stock-days; 214 of those disagreements sit on the Nepali bonus-share ladder — implied adjustment factors clustering near 1.05, 1.10, 1.15, 1.20, 1.25 and 1.30 — and are NEPSE's own ex-date reference-price adjustment, published so that the day's return reflects the price change rather than the mechanical entitlement drop; an unadjusted overnight return on such a day manufactures a price move that never happened. These are classified rather than merely counted (Table 12), and the adopted previous close uses the exchange's published value on exactly those rows and the prior session's own close everywhere else. A third correction matches the estimator's own horizon: Yang-Zhang integrates variance over a 21-session window, and comparing it against the squared return of the current session alone repeats Section 5.4's own diagnosis on the time axis instead of the session axis. The horizon-matched benchmark is the close-to-close sample variance over the same 21-session window and the same rows. This is also why Section 6.5 evaluates every ratio on the rows where both its numerator and its proxy are defined and, for Yang-Zhang, over the same horizon as well; a comparison that averaged Yang-Zhang over its own smaller sample and close-to-close over a larger one, or over one session instead of twenty-one, would reproduce, inside the robustness table, the scope mismatch that Section 5.4 diagnoses.</w:t>
      </w:r>
    </w:p>
    <w:p>
      <w:pPr>
        <w:pStyle w:val="Heading2"/>
      </w:pPr>
      <w:r>
        <w:t>4.6 Bias-corrected range estimators</w:t>
      </w:r>
    </w:p>
    <w:p>
      <w:r>
        <w:t>Maheswaran and Kumar (2013) and Kumar and Maheswaran (2014a) develop the reflection-principle correction intended for downward bias caused by discrete observations of the price path; the operational equations implemented here follow the equivalent form given in Kumar and Maheswaran (2014b). The additive Rogers-Satchell implementation studied in the NEPSE project can be written as Rogers-Satchell plus a non-negative correction tied to boundary cases in which the high or low coincides with the open or close. Such a correction is valuable only if the uncorrected estimator is actually downward biased for the target market and benchmark. The empirical results below show why this premise must be tested rather than imported from another market.</w:t>
      </w:r>
    </w:p>
    <w:p>
      <w:pPr>
        <w:spacing w:after="80"/>
        <w:jc w:val="left"/>
      </w:pPr>
      <w:r>
        <w:rPr>
          <w:rFonts w:ascii="Times New Roman" w:hAnsi="Times New Roman"/>
          <w:b/>
          <w:sz w:val="21"/>
        </w:rPr>
        <w:t>Table 2. Practical interpretation of cash-market volatility estimators</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1656"/>
            <w:vAlign w:val="center"/>
            <w:shd w:fill="D9EAF7"/>
          </w:tcPr>
          <w:p>
            <w:pPr>
              <w:spacing w:after="0" w:before="0"/>
              <w:jc w:val="center"/>
            </w:pPr>
            <w:r/>
            <w:r>
              <w:rPr>
                <w:rFonts w:ascii="Times New Roman" w:hAnsi="Times New Roman" w:eastAsia="Times New Roman"/>
                <w:b/>
                <w:sz w:val="18"/>
              </w:rPr>
              <w:t>Estimator</w:t>
            </w:r>
          </w:p>
        </w:tc>
        <w:tc>
          <w:tcPr>
            <w:tcW w:type="dxa" w:w="1728"/>
            <w:vAlign w:val="center"/>
            <w:shd w:fill="D9EAF7"/>
          </w:tcPr>
          <w:p>
            <w:pPr>
              <w:spacing w:after="0" w:before="0"/>
              <w:jc w:val="center"/>
            </w:pPr>
            <w:r/>
            <w:r>
              <w:rPr>
                <w:rFonts w:ascii="Times New Roman" w:hAnsi="Times New Roman" w:eastAsia="Times New Roman"/>
                <w:b/>
                <w:sz w:val="18"/>
              </w:rPr>
              <w:t>Uses</w:t>
            </w:r>
          </w:p>
        </w:tc>
        <w:tc>
          <w:tcPr>
            <w:tcW w:type="dxa" w:w="2736"/>
            <w:vAlign w:val="center"/>
            <w:shd w:fill="D9EAF7"/>
          </w:tcPr>
          <w:p>
            <w:pPr>
              <w:spacing w:after="0" w:before="0"/>
              <w:jc w:val="center"/>
            </w:pPr>
            <w:r/>
            <w:r>
              <w:rPr>
                <w:rFonts w:ascii="Times New Roman" w:hAnsi="Times New Roman" w:eastAsia="Times New Roman"/>
                <w:b/>
                <w:sz w:val="18"/>
              </w:rPr>
              <w:t>Main strength</w:t>
            </w:r>
          </w:p>
        </w:tc>
        <w:tc>
          <w:tcPr>
            <w:tcW w:type="dxa" w:w="3384"/>
            <w:vAlign w:val="center"/>
            <w:shd w:fill="D9EAF7"/>
          </w:tcPr>
          <w:p>
            <w:pPr>
              <w:spacing w:after="0" w:before="0"/>
              <w:jc w:val="center"/>
            </w:pPr>
            <w:r/>
            <w:r>
              <w:rPr>
                <w:rFonts w:ascii="Times New Roman" w:hAnsi="Times New Roman" w:eastAsia="Times New Roman"/>
                <w:b/>
                <w:sz w:val="18"/>
              </w:rPr>
              <w:t>Key frontier-market risk</w:t>
            </w:r>
          </w:p>
        </w:tc>
      </w:tr>
      <w:tr>
        <w:tc>
          <w:tcPr>
            <w:tcW w:type="dxa" w:w="1656"/>
            <w:vAlign w:val="center"/>
          </w:tcPr>
          <w:p>
            <w:pPr>
              <w:spacing w:after="0" w:before="0"/>
              <w:jc w:val="left"/>
            </w:pPr>
            <w:r/>
            <w:r>
              <w:rPr>
                <w:rFonts w:ascii="Times New Roman" w:hAnsi="Times New Roman" w:eastAsia="Times New Roman"/>
                <w:b w:val="0"/>
                <w:sz w:val="17"/>
              </w:rPr>
              <w:t>Close-to-close</w:t>
            </w:r>
          </w:p>
        </w:tc>
        <w:tc>
          <w:tcPr>
            <w:tcW w:type="dxa" w:w="1728"/>
            <w:vAlign w:val="center"/>
          </w:tcPr>
          <w:p>
            <w:pPr>
              <w:spacing w:after="0" w:before="0"/>
              <w:jc w:val="center"/>
            </w:pPr>
            <w:r/>
            <w:r>
              <w:rPr>
                <w:rFonts w:ascii="Times New Roman" w:hAnsi="Times New Roman" w:eastAsia="Times New Roman"/>
                <w:b w:val="0"/>
                <w:sz w:val="17"/>
              </w:rPr>
              <w:t>C_t, C_{t-1}</w:t>
            </w:r>
          </w:p>
        </w:tc>
        <w:tc>
          <w:tcPr>
            <w:tcW w:type="dxa" w:w="2736"/>
            <w:vAlign w:val="center"/>
          </w:tcPr>
          <w:p>
            <w:pPr>
              <w:spacing w:after="0" w:before="0"/>
              <w:jc w:val="center"/>
            </w:pPr>
            <w:r/>
            <w:r>
              <w:rPr>
                <w:rFonts w:ascii="Times New Roman" w:hAnsi="Times New Roman" w:eastAsia="Times New Roman"/>
                <w:b w:val="0"/>
                <w:sz w:val="17"/>
              </w:rPr>
              <w:t>Simple; robust to H/L errors</w:t>
            </w:r>
          </w:p>
        </w:tc>
        <w:tc>
          <w:tcPr>
            <w:tcW w:type="dxa" w:w="3384"/>
            <w:vAlign w:val="center"/>
          </w:tcPr>
          <w:p>
            <w:pPr>
              <w:spacing w:after="0" w:before="0"/>
              <w:jc w:val="center"/>
            </w:pPr>
            <w:r/>
            <w:r>
              <w:rPr>
                <w:rFonts w:ascii="Times New Roman" w:hAnsi="Times New Roman" w:eastAsia="Times New Roman"/>
                <w:b w:val="0"/>
                <w:sz w:val="17"/>
              </w:rPr>
              <w:t>Discards intraday information; stale closes</w:t>
            </w:r>
          </w:p>
        </w:tc>
      </w:tr>
      <w:tr>
        <w:tc>
          <w:tcPr>
            <w:tcW w:type="dxa" w:w="1656"/>
            <w:vAlign w:val="center"/>
          </w:tcPr>
          <w:p>
            <w:pPr>
              <w:spacing w:after="0" w:before="0"/>
              <w:jc w:val="left"/>
            </w:pPr>
            <w:r/>
            <w:r>
              <w:rPr>
                <w:rFonts w:ascii="Times New Roman" w:hAnsi="Times New Roman" w:eastAsia="Times New Roman"/>
                <w:b w:val="0"/>
                <w:sz w:val="17"/>
              </w:rPr>
              <w:t>Parkinson</w:t>
            </w:r>
          </w:p>
        </w:tc>
        <w:tc>
          <w:tcPr>
            <w:tcW w:type="dxa" w:w="1728"/>
            <w:vAlign w:val="center"/>
          </w:tcPr>
          <w:p>
            <w:pPr>
              <w:spacing w:after="0" w:before="0"/>
              <w:jc w:val="center"/>
            </w:pPr>
            <w:r/>
            <w:r>
              <w:rPr>
                <w:rFonts w:ascii="Times New Roman" w:hAnsi="Times New Roman" w:eastAsia="Times New Roman"/>
                <w:b w:val="0"/>
                <w:sz w:val="17"/>
              </w:rPr>
              <w:t>H_t, L_t</w:t>
            </w:r>
          </w:p>
        </w:tc>
        <w:tc>
          <w:tcPr>
            <w:tcW w:type="dxa" w:w="2736"/>
            <w:vAlign w:val="center"/>
          </w:tcPr>
          <w:p>
            <w:pPr>
              <w:spacing w:after="0" w:before="0"/>
              <w:jc w:val="center"/>
            </w:pPr>
            <w:r/>
            <w:r>
              <w:rPr>
                <w:rFonts w:ascii="Times New Roman" w:hAnsi="Times New Roman" w:eastAsia="Times New Roman"/>
                <w:b w:val="0"/>
                <w:sz w:val="17"/>
              </w:rPr>
              <w:t>Efficient use of range</w:t>
            </w:r>
          </w:p>
        </w:tc>
        <w:tc>
          <w:tcPr>
            <w:tcW w:type="dxa" w:w="3384"/>
            <w:vAlign w:val="center"/>
          </w:tcPr>
          <w:p>
            <w:pPr>
              <w:spacing w:after="0" w:before="0"/>
              <w:jc w:val="center"/>
            </w:pPr>
            <w:r/>
            <w:r>
              <w:rPr>
                <w:rFonts w:ascii="Times New Roman" w:hAnsi="Times New Roman" w:eastAsia="Times New Roman"/>
                <w:b w:val="0"/>
                <w:sz w:val="17"/>
              </w:rPr>
              <w:t>Zero/understated range with few trades</w:t>
            </w:r>
          </w:p>
        </w:tc>
      </w:tr>
      <w:tr>
        <w:tc>
          <w:tcPr>
            <w:tcW w:type="dxa" w:w="1656"/>
            <w:vAlign w:val="center"/>
          </w:tcPr>
          <w:p>
            <w:pPr>
              <w:spacing w:after="0" w:before="0"/>
              <w:jc w:val="left"/>
            </w:pPr>
            <w:r/>
            <w:r>
              <w:rPr>
                <w:rFonts w:ascii="Times New Roman" w:hAnsi="Times New Roman" w:eastAsia="Times New Roman"/>
                <w:b w:val="0"/>
                <w:sz w:val="17"/>
              </w:rPr>
              <w:t>Garman-Klass</w:t>
            </w:r>
          </w:p>
        </w:tc>
        <w:tc>
          <w:tcPr>
            <w:tcW w:type="dxa" w:w="1728"/>
            <w:vAlign w:val="center"/>
          </w:tcPr>
          <w:p>
            <w:pPr>
              <w:spacing w:after="0" w:before="0"/>
              <w:jc w:val="center"/>
            </w:pPr>
            <w:r/>
            <w:r>
              <w:rPr>
                <w:rFonts w:ascii="Times New Roman" w:hAnsi="Times New Roman" w:eastAsia="Times New Roman"/>
                <w:b w:val="0"/>
                <w:sz w:val="17"/>
              </w:rPr>
              <w:t>O,H,L,C</w:t>
            </w:r>
          </w:p>
        </w:tc>
        <w:tc>
          <w:tcPr>
            <w:tcW w:type="dxa" w:w="2736"/>
            <w:vAlign w:val="center"/>
          </w:tcPr>
          <w:p>
            <w:pPr>
              <w:spacing w:after="0" w:before="0"/>
              <w:jc w:val="center"/>
            </w:pPr>
            <w:r/>
            <w:r>
              <w:rPr>
                <w:rFonts w:ascii="Times New Roman" w:hAnsi="Times New Roman" w:eastAsia="Times New Roman"/>
                <w:b w:val="0"/>
                <w:sz w:val="17"/>
              </w:rPr>
              <w:t>Uses range plus O-C move</w:t>
            </w:r>
          </w:p>
        </w:tc>
        <w:tc>
          <w:tcPr>
            <w:tcW w:type="dxa" w:w="3384"/>
            <w:vAlign w:val="center"/>
          </w:tcPr>
          <w:p>
            <w:pPr>
              <w:spacing w:after="0" w:before="0"/>
              <w:jc w:val="center"/>
            </w:pPr>
            <w:r/>
            <w:r>
              <w:rPr>
                <w:rFonts w:ascii="Times New Roman" w:hAnsi="Times New Roman" w:eastAsia="Times New Roman"/>
                <w:b w:val="0"/>
                <w:sz w:val="17"/>
              </w:rPr>
              <w:t>Opening jumps; invalid OHLC if not cleaned</w:t>
            </w:r>
          </w:p>
        </w:tc>
      </w:tr>
      <w:tr>
        <w:tc>
          <w:tcPr>
            <w:tcW w:type="dxa" w:w="1656"/>
            <w:vAlign w:val="center"/>
          </w:tcPr>
          <w:p>
            <w:pPr>
              <w:spacing w:after="0" w:before="0"/>
              <w:jc w:val="left"/>
            </w:pPr>
            <w:r/>
            <w:r>
              <w:rPr>
                <w:rFonts w:ascii="Times New Roman" w:hAnsi="Times New Roman" w:eastAsia="Times New Roman"/>
                <w:b w:val="0"/>
                <w:sz w:val="17"/>
              </w:rPr>
              <w:t>Rogers-Satchell</w:t>
            </w:r>
          </w:p>
        </w:tc>
        <w:tc>
          <w:tcPr>
            <w:tcW w:type="dxa" w:w="1728"/>
            <w:vAlign w:val="center"/>
          </w:tcPr>
          <w:p>
            <w:pPr>
              <w:spacing w:after="0" w:before="0"/>
              <w:jc w:val="center"/>
            </w:pPr>
            <w:r/>
            <w:r>
              <w:rPr>
                <w:rFonts w:ascii="Times New Roman" w:hAnsi="Times New Roman" w:eastAsia="Times New Roman"/>
                <w:b w:val="0"/>
                <w:sz w:val="17"/>
              </w:rPr>
              <w:t>O,H,L,C</w:t>
            </w:r>
          </w:p>
        </w:tc>
        <w:tc>
          <w:tcPr>
            <w:tcW w:type="dxa" w:w="2736"/>
            <w:vAlign w:val="center"/>
          </w:tcPr>
          <w:p>
            <w:pPr>
              <w:spacing w:after="0" w:before="0"/>
              <w:jc w:val="center"/>
            </w:pPr>
            <w:r/>
            <w:r>
              <w:rPr>
                <w:rFonts w:ascii="Times New Roman" w:hAnsi="Times New Roman" w:eastAsia="Times New Roman"/>
                <w:b w:val="0"/>
                <w:sz w:val="17"/>
              </w:rPr>
              <w:t>Drift-independent under maintained model</w:t>
            </w:r>
          </w:p>
        </w:tc>
        <w:tc>
          <w:tcPr>
            <w:tcW w:type="dxa" w:w="3384"/>
            <w:vAlign w:val="center"/>
          </w:tcPr>
          <w:p>
            <w:pPr>
              <w:spacing w:after="0" w:before="0"/>
              <w:jc w:val="center"/>
            </w:pPr>
            <w:r/>
            <w:r>
              <w:rPr>
                <w:rFonts w:ascii="Times New Roman" w:hAnsi="Times New Roman" w:eastAsia="Times New Roman"/>
                <w:b w:val="0"/>
                <w:sz w:val="17"/>
              </w:rPr>
              <w:t>Discrete extrema; monotone-day zeros</w:t>
            </w:r>
          </w:p>
        </w:tc>
      </w:tr>
      <w:tr>
        <w:tc>
          <w:tcPr>
            <w:tcW w:type="dxa" w:w="1656"/>
            <w:vAlign w:val="center"/>
          </w:tcPr>
          <w:p>
            <w:pPr>
              <w:spacing w:after="0" w:before="0"/>
              <w:jc w:val="left"/>
            </w:pPr>
            <w:r/>
            <w:r>
              <w:rPr>
                <w:rFonts w:ascii="Times New Roman" w:hAnsi="Times New Roman" w:eastAsia="Times New Roman"/>
                <w:b w:val="0"/>
                <w:sz w:val="17"/>
              </w:rPr>
              <w:t>Yang-Zhang</w:t>
            </w:r>
          </w:p>
        </w:tc>
        <w:tc>
          <w:tcPr>
            <w:tcW w:type="dxa" w:w="1728"/>
            <w:vAlign w:val="center"/>
          </w:tcPr>
          <w:p>
            <w:pPr>
              <w:spacing w:after="0" w:before="0"/>
              <w:jc w:val="center"/>
            </w:pPr>
            <w:r/>
            <w:r>
              <w:rPr>
                <w:rFonts w:ascii="Times New Roman" w:hAnsi="Times New Roman" w:eastAsia="Times New Roman"/>
                <w:b w:val="0"/>
                <w:sz w:val="17"/>
              </w:rPr>
              <w:t>Prior C + OHLC</w:t>
            </w:r>
          </w:p>
        </w:tc>
        <w:tc>
          <w:tcPr>
            <w:tcW w:type="dxa" w:w="2736"/>
            <w:vAlign w:val="center"/>
          </w:tcPr>
          <w:p>
            <w:pPr>
              <w:spacing w:after="0" w:before="0"/>
              <w:jc w:val="center"/>
            </w:pPr>
            <w:r/>
            <w:r>
              <w:rPr>
                <w:rFonts w:ascii="Times New Roman" w:hAnsi="Times New Roman" w:eastAsia="Times New Roman"/>
                <w:b w:val="0"/>
                <w:sz w:val="17"/>
              </w:rPr>
              <w:t>Includes overnight and intraday variation</w:t>
            </w:r>
          </w:p>
        </w:tc>
        <w:tc>
          <w:tcPr>
            <w:tcW w:type="dxa" w:w="3384"/>
            <w:vAlign w:val="center"/>
          </w:tcPr>
          <w:p>
            <w:pPr>
              <w:spacing w:after="0" w:before="0"/>
              <w:jc w:val="center"/>
            </w:pPr>
            <w:r/>
            <w:r>
              <w:rPr>
                <w:rFonts w:ascii="Times New Roman" w:hAnsi="Times New Roman" w:eastAsia="Times New Roman"/>
                <w:b w:val="0"/>
                <w:sz w:val="17"/>
              </w:rPr>
              <w:t>Calendar definition; rolling-window dependence</w:t>
            </w:r>
          </w:p>
        </w:tc>
      </w:tr>
      <w:tr>
        <w:tc>
          <w:tcPr>
            <w:tcW w:type="dxa" w:w="1656"/>
            <w:vAlign w:val="center"/>
          </w:tcPr>
          <w:p>
            <w:pPr>
              <w:spacing w:after="0" w:before="0"/>
              <w:jc w:val="left"/>
            </w:pPr>
            <w:r/>
            <w:r>
              <w:rPr>
                <w:rFonts w:ascii="Times New Roman" w:hAnsi="Times New Roman" w:eastAsia="Times New Roman"/>
                <w:b w:val="0"/>
                <w:sz w:val="17"/>
              </w:rPr>
              <w:t>AddRS</w:t>
            </w:r>
          </w:p>
        </w:tc>
        <w:tc>
          <w:tcPr>
            <w:tcW w:type="dxa" w:w="1728"/>
            <w:vAlign w:val="center"/>
          </w:tcPr>
          <w:p>
            <w:pPr>
              <w:spacing w:after="0" w:before="0"/>
              <w:jc w:val="center"/>
            </w:pPr>
            <w:r/>
            <w:r>
              <w:rPr>
                <w:rFonts w:ascii="Times New Roman" w:hAnsi="Times New Roman" w:eastAsia="Times New Roman"/>
                <w:b w:val="0"/>
                <w:sz w:val="17"/>
              </w:rPr>
              <w:t>OHLC + boundary correction</w:t>
            </w:r>
          </w:p>
        </w:tc>
        <w:tc>
          <w:tcPr>
            <w:tcW w:type="dxa" w:w="2736"/>
            <w:vAlign w:val="center"/>
          </w:tcPr>
          <w:p>
            <w:pPr>
              <w:spacing w:after="0" w:before="0"/>
              <w:jc w:val="center"/>
            </w:pPr>
            <w:r/>
            <w:r>
              <w:rPr>
                <w:rFonts w:ascii="Times New Roman" w:hAnsi="Times New Roman" w:eastAsia="Times New Roman"/>
                <w:b w:val="0"/>
                <w:sz w:val="17"/>
              </w:rPr>
              <w:t>Targets discrete-extrema bias</w:t>
            </w:r>
          </w:p>
        </w:tc>
        <w:tc>
          <w:tcPr>
            <w:tcW w:type="dxa" w:w="3384"/>
            <w:vAlign w:val="center"/>
          </w:tcPr>
          <w:p>
            <w:pPr>
              <w:spacing w:after="0" w:before="0"/>
              <w:jc w:val="center"/>
            </w:pPr>
            <w:r/>
            <w:r>
              <w:rPr>
                <w:rFonts w:ascii="Times New Roman" w:hAnsi="Times New Roman" w:eastAsia="Times New Roman"/>
                <w:b w:val="0"/>
                <w:sz w:val="17"/>
              </w:rPr>
              <w:t>Can overcorrect when base estimator is not downward biased</w:t>
            </w:r>
          </w:p>
        </w:tc>
      </w:tr>
    </w:tbl>
    <w:p>
      <w:pPr>
        <w:spacing w:after="40"/>
      </w:pPr>
    </w:p>
    <w:p>
      <w:pPr>
        <w:pStyle w:val="Heading1"/>
      </w:pPr>
      <w:r>
        <w:t>5. Frontier-Market Problems That Must Be Solved Before Calculation</w:t>
      </w:r>
    </w:p>
    <w:p>
      <w:pPr>
        <w:pStyle w:val="Heading2"/>
      </w:pPr>
      <w:r>
        <w:t>5.1 Instrument composition</w:t>
      </w:r>
    </w:p>
    <w:p>
      <w:r>
        <w:t>The largest empirical warning in the NEPSE project is not a volatility formula but a sample-definition problem. The published daily file contains several security classes without an instrument-type field. When all 520 securities are pooled and sorted by trading intensity, the thinnest quintile has median trading intensity of only two trades per day, participation of 19.5%, P(H=L) of 54.6%, and a Rogers-Satchell-to-benchmark variance ratio of 0.172. That looks like a dramatic failure of range-based estimation.</w:t>
      </w:r>
    </w:p>
    <w:p>
      <w:r>
        <w:t>But the liquidity ranking is largely an asset-class ranking. The two thinnest pooled quintiles contain only four ordinary equities out of 209 securities. The thinnest pooled decile is 94.3% non-equity by stock-day. Corporate debentures and restricted promoter shares are structurally different instruments; treating them as thin common stocks creates a composition artifact.</w:t>
      </w:r>
    </w:p>
    <w:p>
      <w:pPr>
        <w:spacing w:after="40"/>
        <w:jc w:val="center"/>
      </w:pPr>
      <w:r>
        <w:drawing>
          <wp:inline xmlns:a="http://schemas.openxmlformats.org/drawingml/2006/main" xmlns:pic="http://schemas.openxmlformats.org/drawingml/2006/picture">
            <wp:extent cx="5303520" cy="4275848"/>
            <wp:docPr id="1" name="Picture 1"/>
            <wp:cNvGraphicFramePr>
              <a:graphicFrameLocks noChangeAspect="1"/>
            </wp:cNvGraphicFramePr>
            <a:graphic>
              <a:graphicData uri="http://schemas.openxmlformats.org/drawingml/2006/picture">
                <pic:pic>
                  <pic:nvPicPr>
                    <pic:cNvPr id="0" name="fig21_universe_composition.png"/>
                    <pic:cNvPicPr/>
                  </pic:nvPicPr>
                  <pic:blipFill>
                    <a:blip r:embed="rId11"/>
                    <a:stretch>
                      <a:fillRect/>
                    </a:stretch>
                  </pic:blipFill>
                  <pic:spPr>
                    <a:xfrm>
                      <a:off x="0" y="0"/>
                      <a:ext cx="5303520" cy="4275848"/>
                    </a:xfrm>
                    <a:prstGeom prst="rect"/>
                  </pic:spPr>
                </pic:pic>
              </a:graphicData>
            </a:graphic>
          </wp:inline>
        </w:drawing>
      </w:r>
    </w:p>
    <w:p>
      <w:pPr>
        <w:pStyle w:val="FigureCaption"/>
        <w:keepNext w:val="0"/>
        <w:keepLines/>
        <w:jc w:val="left"/>
      </w:pPr>
      <w:r>
        <w:t>Figure 1. Instrument composition of pooled liquidity quintiles. The apparently most illiquid buckets are overwhelmingly non-equity.</w:t>
      </w:r>
    </w:p>
    <w:p>
      <w:pPr>
        <w:pStyle w:val="Heading2"/>
      </w:pPr>
      <w:r>
        <w:t>5.2 Sparse trading and stale observations</w:t>
      </w:r>
    </w:p>
    <w:p>
      <w:r>
        <w:t>Sparse trading affects both endpoints and extremes. A stale close can produce a zero close-to-close return even when the latent value changed, while a small number of transactions can produce a high and low that cover only part of the true path. These mechanisms can bias volatility downward. At the same time, bid-ask bounce and price impact can widen observed extremes and bias range measures upward. Thin-market bias therefore need not be one-directional; it should be diagnosed against liquidity and with cross-market or simulation checks.</w:t>
      </w:r>
    </w:p>
    <w:p>
      <w:pPr>
        <w:keepNext/>
        <w:spacing w:before="0" w:after="0"/>
        <w:jc w:val="center"/>
      </w:pPr>
      <w:r>
        <w:drawing>
          <wp:inline xmlns:a="http://schemas.openxmlformats.org/drawingml/2006/main" xmlns:pic="http://schemas.openxmlformats.org/drawingml/2006/picture">
            <wp:extent cx="5486400" cy="2313158"/>
            <wp:docPr id="4" name="Picture 4"/>
            <wp:cNvGraphicFramePr>
              <a:graphicFrameLocks noChangeAspect="1"/>
            </wp:cNvGraphicFramePr>
            <a:graphic>
              <a:graphicData uri="http://schemas.openxmlformats.org/drawingml/2006/picture">
                <pic:pic>
                  <pic:nvPicPr>
                    <pic:cNvPr id="0" name="fig1_trading_intensity.png"/>
                    <pic:cNvPicPr/>
                  </pic:nvPicPr>
                  <pic:blipFill>
                    <a:blip r:embed="rId14"/>
                    <a:stretch>
                      <a:fillRect/>
                    </a:stretch>
                  </pic:blipFill>
                  <pic:spPr>
                    <a:xfrm>
                      <a:off x="0" y="0"/>
                      <a:ext cx="5486400" cy="2313158"/>
                    </a:xfrm>
                    <a:prstGeom prst="rect"/>
                  </pic:spPr>
                </pic:pic>
              </a:graphicData>
            </a:graphic>
          </wp:inline>
        </w:drawing>
      </w:r>
    </w:p>
    <w:p>
      <w:pPr>
        <w:pStyle w:val="FigureCaption"/>
        <w:keepNext w:val="0"/>
        <w:keepLines/>
        <w:jc w:val="left"/>
      </w:pPr>
      <w:r>
        <w:t>Figure 2. Trading intensity in the pooled exchange universe before instrument filtering. The long low-trade tail helps explain why a naive pooled analysis can look extremely thin, but it should be interpreted together with Figure 1 because the low-liquidity buckets contain many non-equity instruments. Generated by scripts/03_descriptive.py.</w:t>
      </w:r>
    </w:p>
    <w:p>
      <w:pPr>
        <w:pStyle w:val="Heading2"/>
      </w:pPr>
      <w:r>
        <w:t>5.3 Opening auctions, price bands, and observed-price constraints</w:t>
      </w:r>
    </w:p>
    <w:p>
      <w:r>
        <w:t>NEPSE's opening mechanism is economically important. In ordinary equity, the ratio of opening-return variance to close-to-close variance is elevated in the lower-liquidity daily trade-count deciles, reaches its sample maximum in the decile with a median of 78 trades per day, and then generally declines as trading intensity rises. In the thinnest decile (median 24 trades per day), this ratio is 57.6% and 12.8% of opens equal the previous close. Across the full sample, 18.3% of observations in that decile have an absolute opening return between 1.9% and 2.1%. Because the pre-open band widened from approximately ±2% to ±5% on April 20, 2026, this 18.3% is a pooled descriptive fingerprint, not an estimate of the fraction mechanically bound by the former ±2% rule. These patterns are observable features of the auction data, not proof of a latent censored-return model. The project's attempted censored-normal recovery failed its post-April-2026 regime-change check and is therefore not used in this paper. Section 6.7 returns to the open with a question the data can answer: not what the latent opening return would have been, but how much of the observed opening move survives to the close.</w:t>
      </w:r>
    </w:p>
    <w:p>
      <w:pPr>
        <w:keepNext/>
        <w:spacing w:before="0" w:after="0"/>
        <w:jc w:val="center"/>
      </w:pPr>
      <w:r>
        <w:drawing>
          <wp:inline xmlns:a="http://schemas.openxmlformats.org/drawingml/2006/main" xmlns:pic="http://schemas.openxmlformats.org/drawingml/2006/picture">
            <wp:extent cx="5486400" cy="1735868"/>
            <wp:docPr id="5" name="Picture 5"/>
            <wp:cNvGraphicFramePr>
              <a:graphicFrameLocks noChangeAspect="1"/>
            </wp:cNvGraphicFramePr>
            <a:graphic>
              <a:graphicData uri="http://schemas.openxmlformats.org/drawingml/2006/picture">
                <pic:pic>
                  <pic:nvPicPr>
                    <pic:cNvPr id="0" name="fig15_opening_auction.png"/>
                    <pic:cNvPicPr/>
                  </pic:nvPicPr>
                  <pic:blipFill>
                    <a:blip r:embed="rId15"/>
                    <a:stretch>
                      <a:fillRect/>
                    </a:stretch>
                  </pic:blipFill>
                  <pic:spPr>
                    <a:xfrm>
                      <a:off x="0" y="0"/>
                      <a:ext cx="5486400" cy="1735868"/>
                    </a:xfrm>
                    <a:prstGeom prst="rect"/>
                  </pic:spPr>
                </pic:pic>
              </a:graphicData>
            </a:graphic>
          </wp:inline>
        </w:drawing>
      </w:r>
    </w:p>
    <w:p>
      <w:pPr>
        <w:pStyle w:val="FigureCaption"/>
        <w:keepNext w:val="0"/>
        <w:keepLines/>
        <w:jc w:val="left"/>
      </w:pPr>
      <w:r>
        <w:t>Figure 3. Observable fingerprints of NEPSE's pre-open auction: opening-return pile-ups at the permitted bands, the opening-variance ratio by trading intensity, and the frequencies of no-match openings and near-band openings. The exhibit is generated by scripts/13_opening_auction.py and is used descriptively; it is not used to infer a latent uncensored opening distribution.</w:t>
      </w:r>
    </w:p>
    <w:p>
      <w:pPr>
        <w:pStyle w:val="Heading2"/>
      </w:pPr>
      <w:r>
        <w:t>5.4 The benchmark must match the estimator</w:t>
      </w:r>
    </w:p>
    <w:p>
      <w:r>
        <w:t>A common error is to compare an intraday range estimator directly with close-to-close variance and call the difference bias. Close-to-close returns include the overnight move from yesterday's close to today's open; Parkinson and Rogers-Satchell do not. In the NIFTY 50 data, Rogers-Satchell is only 0.671 of close-to-close variance but 0.965 of open-to-close variance. For the NEPSE thin-equity group, Rogers-Satchell is 0.999 relative to the matched open-to-close proxy, and 1.020 for the dense group. Numerator and proxy are computed on the same strictly-consecutive-session rows; averaging the estimator over a wider row set than its proxy moves the dense figure to 1.059 and is precisely the kind of sample mismatch this section is about. These point estimates should not be read for their position relative to one. Their 95% intervals, from a bootstrap that resamples securities and calendar dates jointly, are [0.843, 1.147] for the thin group and [0.945, 1.104] for the dense group; both span one comfortably, and successive revisions of this project have produced thin-group point estimates of 0.998, 1.004 and 0.999 under sample changes far smaller than that interval. What the exercise establishes is the scope point, not a direction: once the proxy matches the estimator, the apparent Rogers-Satchell shortfall disappears. The decomposition also shows that Var(opening return)/Var(close-to-close return) is 63.3% in thin equity versus 26.8% in dense equity. These component ratios are not additive shares because opening and intraday returns can covary; the full identity includes the 2Cov term. Matching the estimator and the proxy to the same time interval, and to the same rows, is therefore a prerequisite for interpreting any of these ratios.</w:t>
      </w:r>
    </w:p>
    <w:p>
      <w:pPr>
        <w:keepNext/>
        <w:spacing w:before="0" w:after="0"/>
        <w:jc w:val="center"/>
      </w:pPr>
      <w:r>
        <w:drawing>
          <wp:inline xmlns:a="http://schemas.openxmlformats.org/drawingml/2006/main" xmlns:pic="http://schemas.openxmlformats.org/drawingml/2006/picture">
            <wp:extent cx="5486400" cy="2120102"/>
            <wp:docPr id="6" name="Picture 6"/>
            <wp:cNvGraphicFramePr>
              <a:graphicFrameLocks noChangeAspect="1"/>
            </wp:cNvGraphicFramePr>
            <a:graphic>
              <a:graphicData uri="http://schemas.openxmlformats.org/drawingml/2006/picture">
                <pic:pic>
                  <pic:nvPicPr>
                    <pic:cNvPr id="0" name="fig14_benchmark_diagnosis.png"/>
                    <pic:cNvPicPr/>
                  </pic:nvPicPr>
                  <pic:blipFill>
                    <a:blip r:embed="rId16"/>
                    <a:stretch>
                      <a:fillRect/>
                    </a:stretch>
                  </pic:blipFill>
                  <pic:spPr>
                    <a:xfrm>
                      <a:off x="0" y="0"/>
                      <a:ext cx="5486400" cy="2120102"/>
                    </a:xfrm>
                    <a:prstGeom prst="rect"/>
                  </pic:spPr>
                </pic:pic>
              </a:graphicData>
            </a:graphic>
          </wp:inline>
        </w:drawing>
      </w:r>
    </w:p>
    <w:p>
      <w:pPr>
        <w:pStyle w:val="FigureCaption"/>
        <w:keepNext w:val="0"/>
        <w:keepLines/>
        <w:jc w:val="left"/>
      </w:pPr>
      <w:r>
        <w:t>Figure 4. Benchmark scope and variance decomposition. Panel A compares Rogers-Satchell with close-to-close and matched open-to-close variance; Panel B reports Var(opening return)/Var(close-to-close return). All ratios are variance-scale and are generated by scripts/12_benchmark_diagnosis.py with numerical output in table18_benchmark_diagnosis.csv.</w:t>
      </w:r>
    </w:p>
    <w:p>
      <w:pPr>
        <w:pStyle w:val="Heading1"/>
      </w:pPr>
      <w:r>
        <w:t>6. Empirical Results</w:t>
      </w:r>
    </w:p>
    <w:p>
      <w:pPr>
        <w:pStyle w:val="Heading2"/>
      </w:pPr>
      <w:r>
        <w:t>6.1 Ordinary equities are much more usable than the pooled file suggests</w:t>
      </w:r>
    </w:p>
    <w:p>
      <w:r>
        <w:t>Once the universe is restricted to ordinary equity, the thin-market picture changes sharply. Across the equity sample, median trading intensity is 164 trades per stock-day, the 10th percentile is 37 trades, and only 1.6% of stock-days have fewer than ten trades. The zero-range rate P(H=L) falls from 5.70% in the pooled universe to 0.28% in ordinary equity. The thinnest equity quintile still has a median of 49 trades per day and a median participation rate of 100%, but participation across the individual securities in that quintile ranges down to 5.3%, so the quintile median describes a typical stock-day in the group, not every security in it (Table 10). How the thinnest stock-days are identified matters more than it appears. An earlier version of this analysis grouped securities by participation OR by their zero-range share, and reported that range estimators collapse in that group (Parkinson 0.814 across 4 securities). That grouping selects on the outcome: a zero range is the event that drives Parkinson to zero, so a low ratio inside a group defined partly by zero ranges is in part an arithmetic consequence of the selection rather than a finding about liquidity. The robustness claim is therefore made instead with a lagged, outcome-independent liquidity screen, declared post hoc and applied consistently, which reads no price, range, return or estimator output. A stock-day is thin when, over the previous 60 scheduled sessions and using information through the prior session only, the security's participation fell below 90% or its median trade count conditional on trading fell at or below the cross-sectional tenth percentile, with ties at that cutoff treated as thin; securities are eligible only after 60 scheduled sessions of history, counted in scheduled rather than traded sessions so that eligibility does not itself depend on activity. Official listing dates are not available here, so the first observed trading date is used as a proxy for the start of eligibility. Under that screen 9.8% of eligible stock-days are thin (62 securities, 12,454 stock-days) and the estimator does not collapse in them: Parkinson stands at 1.020 [0.984, 1.064] against 1.015 [0.992, 1.035] for the rest of the eligible sample (Table 21). Across all 15 specifications of the sensitivity analysis — a 3×3 grid over participation thresholds and trade-count tails, a history-floor sweep, and each leg of the rule on its own — the thin-group ratio stays between 0.847 and 1.033 (Table 22). The one specification that does produce a materially lower ratio is the participation leg alone, which isolates 6 securities and 546 stock-days at 0.847 [0.729, 1.104]; that interval is wide and straddles the margin, so it identifies where any genuine difficulty lies rather than establishing one. Because this contrast is the paper's central empirical claim, it rests on a classification that has been checked against an independent source rather than on our rule alone; the audit is reported in Section 3 and Table 9.</w:t>
      </w:r>
    </w:p>
    <w:p>
      <w:pPr/>
      <w:r>
        <w:t>A note on what the headline ratio weights. Every ratio in this paper is a ratio of pooled stock-day sums, so a security contributes in proportion to how many sessions it traded: long-lived, actively traded securities carry more of it than thin or briefly listed ones. That is the right estimand for the practical question — across the trading this market actually did, how does the estimator compare with the matched proxy in aggregate scale — but it is not the only one, and it is not neutral. Table 19 therefore reports, for all six estimators, the stock-day-weighted ratio beside the equal-security mean and median and the 5th-95th percentile of the security-level ratio. The two weightings agree closely: no estimator's equal-security mean departs from its stock-day-weighted ratio by more than 0.027. What the aggregate does conceal is the spread, which is wide for every estimator — Parkinson's own security-level ratios run from 0.816 to 1.108 between the 5th and 95th percentiles against a pooled 1.001 — and Table 20 shows the ratio by length of observed history, so a reader can check that the pooled figure is not an artifact of long-lived securities dominating the sum.</w:t>
      </w:r>
    </w:p>
    <w:p>
      <w:pPr>
        <w:spacing w:after="80"/>
        <w:jc w:val="left"/>
      </w:pPr>
      <w:r>
        <w:rPr>
          <w:rFonts w:ascii="Times New Roman" w:hAnsi="Times New Roman"/>
          <w:b/>
          <w:sz w:val="21"/>
        </w:rPr>
        <w:t>Table 3. Why instrument classification changes the volatility diagnosis</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3600"/>
            <w:vAlign w:val="center"/>
            <w:shd w:fill="D9EAF7"/>
          </w:tcPr>
          <w:p>
            <w:pPr>
              <w:spacing w:after="0" w:before="0"/>
              <w:jc w:val="center"/>
            </w:pPr>
            <w:r>
              <w:t>Measure</w:t>
            </w:r>
            <w:r>
              <w:rPr>
                <w:rFonts w:ascii="Times New Roman" w:hAnsi="Times New Roman" w:eastAsia="Times New Roman"/>
                <w:b/>
                <w:sz w:val="18"/>
              </w:rPr>
            </w:r>
          </w:p>
        </w:tc>
        <w:tc>
          <w:tcPr>
            <w:tcW w:type="dxa" w:w="2232"/>
            <w:vAlign w:val="center"/>
            <w:shd w:fill="D9EAF7"/>
          </w:tcPr>
          <w:p>
            <w:pPr>
              <w:spacing w:after="0" w:before="0"/>
              <w:jc w:val="center"/>
            </w:pPr>
            <w:r>
              <w:t>Pooled universe</w:t>
            </w:r>
            <w:r>
              <w:rPr>
                <w:rFonts w:ascii="Times New Roman" w:hAnsi="Times New Roman" w:eastAsia="Times New Roman"/>
                <w:b/>
                <w:sz w:val="18"/>
              </w:rPr>
            </w:r>
          </w:p>
        </w:tc>
        <w:tc>
          <w:tcPr>
            <w:tcW w:type="dxa" w:w="2232"/>
            <w:vAlign w:val="center"/>
            <w:shd w:fill="D9EAF7"/>
          </w:tcPr>
          <w:p>
            <w:pPr>
              <w:spacing w:after="0" w:before="0"/>
              <w:jc w:val="center"/>
            </w:pPr>
            <w:r>
              <w:t>Ordinary equity</w:t>
            </w:r>
            <w:r>
              <w:rPr>
                <w:rFonts w:ascii="Times New Roman" w:hAnsi="Times New Roman" w:eastAsia="Times New Roman"/>
                <w:b/>
                <w:sz w:val="18"/>
              </w:rPr>
            </w:r>
          </w:p>
        </w:tc>
      </w:tr>
      <w:tr>
        <w:tc>
          <w:tcPr>
            <w:tcW w:type="dxa" w:w="3216"/>
          </w:tcPr>
          <w:p>
            <w:r>
              <w:t>Stock-days</w:t>
            </w:r>
          </w:p>
        </w:tc>
        <w:tc>
          <w:tcPr>
            <w:tcW w:type="dxa" w:w="3216"/>
          </w:tcPr>
          <w:p>
            <w:r>
              <w:t>184,390</w:t>
            </w:r>
          </w:p>
        </w:tc>
        <w:tc>
          <w:tcPr>
            <w:tcW w:type="dxa" w:w="3216"/>
          </w:tcPr>
          <w:p>
            <w:r>
              <w:t>143,718</w:t>
            </w:r>
          </w:p>
        </w:tc>
      </w:tr>
      <w:tr>
        <w:tc>
          <w:tcPr>
            <w:tcW w:type="dxa" w:w="3216"/>
          </w:tcPr>
          <w:p>
            <w:r>
              <w:t>Median trades/day</w:t>
            </w:r>
          </w:p>
        </w:tc>
        <w:tc>
          <w:tcPr>
            <w:tcW w:type="dxa" w:w="3216"/>
          </w:tcPr>
          <w:p>
            <w:r>
              <w:t>111</w:t>
            </w:r>
          </w:p>
        </w:tc>
        <w:tc>
          <w:tcPr>
            <w:tcW w:type="dxa" w:w="3216"/>
          </w:tcPr>
          <w:p>
            <w:r>
              <w:t>164</w:t>
            </w:r>
          </w:p>
        </w:tc>
      </w:tr>
      <w:tr>
        <w:tc>
          <w:tcPr>
            <w:tcW w:type="dxa" w:w="3216"/>
          </w:tcPr>
          <w:p>
            <w:r>
              <w:t>10th percentile trades/day</w:t>
            </w:r>
          </w:p>
        </w:tc>
        <w:tc>
          <w:tcPr>
            <w:tcW w:type="dxa" w:w="3216"/>
          </w:tcPr>
          <w:p>
            <w:r>
              <w:t>4</w:t>
            </w:r>
          </w:p>
        </w:tc>
        <w:tc>
          <w:tcPr>
            <w:tcW w:type="dxa" w:w="3216"/>
          </w:tcPr>
          <w:p>
            <w:r>
              <w:t>37</w:t>
            </w:r>
          </w:p>
        </w:tc>
      </w:tr>
      <w:tr>
        <w:tc>
          <w:tcPr>
            <w:tcW w:type="dxa" w:w="3216"/>
          </w:tcPr>
          <w:p>
            <w:r>
              <w:t>Stock-days below 10 trades</w:t>
            </w:r>
          </w:p>
        </w:tc>
        <w:tc>
          <w:tcPr>
            <w:tcW w:type="dxa" w:w="3216"/>
          </w:tcPr>
          <w:p>
            <w:r>
              <w:t>14.8%</w:t>
            </w:r>
          </w:p>
        </w:tc>
        <w:tc>
          <w:tcPr>
            <w:tcW w:type="dxa" w:w="3216"/>
          </w:tcPr>
          <w:p>
            <w:r>
              <w:t>1.6%</w:t>
            </w:r>
          </w:p>
        </w:tc>
      </w:tr>
      <w:tr>
        <w:tc>
          <w:tcPr>
            <w:tcW w:type="dxa" w:w="3216"/>
          </w:tcPr>
          <w:p>
            <w:r>
              <w:t>P(H = L)</w:t>
            </w:r>
          </w:p>
        </w:tc>
        <w:tc>
          <w:tcPr>
            <w:tcW w:type="dxa" w:w="3216"/>
          </w:tcPr>
          <w:p>
            <w:r>
              <w:t>5.70%</w:t>
            </w:r>
          </w:p>
        </w:tc>
        <w:tc>
          <w:tcPr>
            <w:tcW w:type="dxa" w:w="3216"/>
          </w:tcPr>
          <w:p>
            <w:r>
              <w:t>0.28%</w:t>
            </w:r>
          </w:p>
        </w:tc>
      </w:tr>
      <w:tr>
        <w:tc>
          <w:tcPr>
            <w:tcW w:type="dxa" w:w="3216"/>
          </w:tcPr>
          <w:p>
            <w:r>
              <w:t>Parkinson exactly zero</w:t>
            </w:r>
          </w:p>
        </w:tc>
        <w:tc>
          <w:tcPr>
            <w:tcW w:type="dxa" w:w="3216"/>
          </w:tcPr>
          <w:p>
            <w:r>
              <w:t>5.70%</w:t>
            </w:r>
          </w:p>
        </w:tc>
        <w:tc>
          <w:tcPr>
            <w:tcW w:type="dxa" w:w="3216"/>
          </w:tcPr>
          <w:p>
            <w:r>
              <w:t>0.28%</w:t>
            </w:r>
          </w:p>
        </w:tc>
      </w:tr>
      <w:tr>
        <w:tc>
          <w:tcPr>
            <w:tcW w:type="dxa" w:w="3216"/>
          </w:tcPr>
          <w:p>
            <w:r>
              <w:t>Rogers-Satchell exactly zero</w:t>
            </w:r>
          </w:p>
        </w:tc>
        <w:tc>
          <w:tcPr>
            <w:tcW w:type="dxa" w:w="3216"/>
          </w:tcPr>
          <w:p>
            <w:r>
              <w:t>15.25%</w:t>
            </w:r>
          </w:p>
        </w:tc>
        <w:tc>
          <w:tcPr>
            <w:tcW w:type="dxa" w:w="3216"/>
          </w:tcPr>
          <w:p>
            <w:r>
              <w:t>4.35%</w:t>
            </w:r>
          </w:p>
        </w:tc>
      </w:tr>
    </w:tbl>
    <w:p>
      <w:pPr>
        <w:spacing w:after="40"/>
      </w:pPr>
    </w:p>
    <w:p>
      <w:r>
        <w:t>The implication is important for a paper about volatility without options: NEPSE does not lack enough price information to measure volatility simply because it is a frontier market. For common equity, the daily range is usually observed with sufficient trading activity to be informative. The data become problematic when different instruments are pooled into the same liquidity ranking.</w:t>
      </w:r>
    </w:p>
    <w:p>
      <w:pPr>
        <w:pStyle w:val="Heading2"/>
      </w:pPr>
      <w:r>
        <w:t>6.2 Cross-market ratios remain close to one for NEPSE equity</w:t>
      </w:r>
    </w:p>
    <w:p>
      <w:r>
        <w:t>Under identical estimator code — though not identical input screens, since the NEPSE panel additionally passes the positivity, return and rules-derived range filters of Section 3 while the NIFTY and NEPSE index series pass only a positivity filter — Parkinson's standard-deviation ratio relative to open-to-close variation is 0.978 for the NIFTY 50. Across six NEPSE equity stock-day buckets formed by daily transaction count it ranges from 0.934 at roughly 33 trades per day to 1.058 around 77 trades per day, and then moves toward 0.972 at the most active end. The relationship is not monotone and, crucially, does not collapse in the least active equity group. The zero-range rate is 1.66% in that thinnest cross-market bucket and zero or nearly zero in the remaining groups. A ratio near one describes aggregate scale, not daily tracking: Parkinson and Rogers-Satchell differ by less than 0.04 in SD ratio to the matched proxy across the full ordinary-equity sample, yet correlate with it at Pearson 0.70 and 0.21 (Spearman 0.63 and 0.14) respectively (Table 14), so the two questions this paper answers — is the aggregate scale close to the proxy, and does the estimator track the proxy day by day — are genuinely different questions with different answers. Every ratio is also classified against a stated +/-5% equivalence margin (Table 7) rather than read from whether its confidence interval happens to contain one, because a wider, less informative interval covers one more easily and must not be read as stronger support. Two qualifications belong with that margin. It was declared after the estimates existed rather than preregistered, so it is applied consistently but carries no protection against having been chosen to suit them; Table 18 therefore reports every verdict at ±2.5%, ±5% and ±10%, and 4 of 12 reported verdicts change somewhere across that grid. And because textbook two one-sided tests at α = .05 correspond to a 90% interval rather than the 95% intervals reported here, the criterion in use is conservative — it declares equivalence less often than TOST would — which Table 18 also shows by reporting both levels. That interval is itself sensitive to how dependence across calendar dates is modelled: resampling dates independently, as the reported two-way interval does, cannot see correlation between adjacent sessions, and replacing it with a stationary block bootstrap over dates reduces the count of Table 7's six named estimators whose interval excludes one from 3 of 6 to 2 of 6 (Table 15); Rogers-Satchell specifically moves from distinguishable under the two-way interval to inconclusive under the block-date one. The screen asymmetry is not incidental: it is why a single unscreened NIFTY session can move the reference figures in Section 6.3, and it is recorded as a limitation in Section 10.</w:t>
      </w:r>
    </w:p>
    <w:p>
      <w:pPr>
        <w:spacing w:after="40"/>
        <w:jc w:val="center"/>
      </w:pPr>
      <w:r>
        <w:drawing>
          <wp:inline xmlns:a="http://schemas.openxmlformats.org/drawingml/2006/main" xmlns:pic="http://schemas.openxmlformats.org/drawingml/2006/picture">
            <wp:extent cx="5486400" cy="2120102"/>
            <wp:docPr id="2" name="Picture 2"/>
            <wp:cNvGraphicFramePr>
              <a:graphicFrameLocks noChangeAspect="1"/>
            </wp:cNvGraphicFramePr>
            <a:graphic>
              <a:graphicData uri="http://schemas.openxmlformats.org/drawingml/2006/picture">
                <pic:pic>
                  <pic:nvPicPr>
                    <pic:cNvPr id="0" name="fig12_cross_market.png"/>
                    <pic:cNvPicPr/>
                  </pic:nvPicPr>
                  <pic:blipFill>
                    <a:blip r:embed="rId12"/>
                    <a:stretch>
                      <a:fillRect/>
                    </a:stretch>
                  </pic:blipFill>
                  <pic:spPr>
                    <a:xfrm>
                      <a:off x="0" y="0"/>
                      <a:ext cx="5486400" cy="2120102"/>
                    </a:xfrm>
                    <a:prstGeom prst="rect"/>
                  </pic:spPr>
                </pic:pic>
              </a:graphicData>
            </a:graphic>
          </wp:inline>
        </w:drawing>
      </w:r>
    </w:p>
    <w:p>
      <w:pPr>
        <w:pStyle w:val="FigureCaption"/>
        <w:keepNext w:val="0"/>
        <w:keepLines/>
        <w:jc w:val="left"/>
      </w:pPr>
      <w:r>
        <w:t>Figure 5. Cross-market estimator ratios under identical estimator code, but different market-specific input screens. Panel A shows that ordinary NEPSE equity remains near the matched proxy across daily trade-count buckets. Panel B compares India VIX with the 21-session Parkinson series on NIFTY 50.</w:t>
      </w:r>
    </w:p>
    <w:p>
      <w:pPr>
        <w:spacing w:after="80"/>
        <w:jc w:val="left"/>
      </w:pPr>
      <w:r>
        <w:rPr>
          <w:rFonts w:ascii="Times New Roman" w:hAnsi="Times New Roman"/>
          <w:b/>
          <w:sz w:val="21"/>
        </w:rPr>
        <w:t>Table 4. Cross-market fingerprint on a standard-deviation scale</w:t>
      </w:r>
    </w:p>
    <w:p>
      <w:pPr>
        <w:spacing w:after="80"/>
        <w:jc w:val="left"/>
      </w:pPr>
      <w:r>
        <w:rPr>
          <w:rFonts w:ascii="Times New Roman" w:hAnsi="Times New Roman"/>
          <w:b/>
          <w:sz w:val="21"/>
        </w:rPr>
        <w:t>The buckets in Table 4 are formed on same-day transaction counts. Because volatility itself raises trading activity, that sort is endogenous: it cannot separate a liquidity effect from the volatility-activity relationship, and the gradient must not be read causally. Table 6 therefore repeats the exercise with two predetermined sorts — one assigning each security to a single bucket by its full-sample median trade count, and one assigning each stock-day by that security's median trade count over its prior sixty sessions, so the sorting variable is in the information set before the day begins. Under both, the least active bucket sits slightly above the matched proxy, at 1.022 and 1.025, rather than below it, and the most active bucket sits below. The dip at the thin end of Table 4 is therefore substantially an artifact of sorting stock-days on their own activity. This does not weaken the paper's thesis; it strengthens it. The claim is that range estimators do not collapse in thin equity, and under a non-endogenous sort the thin bucket is closer to the matched proxy, not further from it.</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trPr>
        <w:tc>
          <w:tcPr>
            <w:tcW w:type="dxa" w:w="2520"/>
            <w:vAlign w:val="center"/>
            <w:shd w:fill="D9EAF7"/>
          </w:tcPr>
          <w:p>
            <w:pPr>
              <w:spacing w:after="0" w:before="0"/>
              <w:jc w:val="center"/>
            </w:pPr>
            <w:r>
              <w:t>Regime</w:t>
            </w:r>
            <w:r>
              <w:rPr>
                <w:rFonts w:ascii="Times New Roman" w:hAnsi="Times New Roman" w:eastAsia="Times New Roman"/>
                <w:b/>
                <w:sz w:val="18"/>
              </w:rPr>
            </w:r>
          </w:p>
        </w:tc>
        <w:tc>
          <w:tcPr>
            <w:tcW w:type="dxa" w:w="1728"/>
            <w:vAlign w:val="center"/>
            <w:shd w:fill="D9EAF7"/>
          </w:tcPr>
          <w:p>
            <w:pPr>
              <w:spacing w:after="0" w:before="0"/>
              <w:jc w:val="center"/>
            </w:pPr>
            <w:r>
              <w:t>Median trades/day</w:t>
            </w:r>
            <w:r>
              <w:rPr>
                <w:rFonts w:ascii="Times New Roman" w:hAnsi="Times New Roman" w:eastAsia="Times New Roman"/>
                <w:b/>
                <w:sz w:val="18"/>
              </w:rPr>
            </w:r>
          </w:p>
        </w:tc>
        <w:tc>
          <w:tcPr>
            <w:tcW w:type="dxa" w:w="2016"/>
            <w:vAlign w:val="center"/>
            <w:shd w:fill="D9EAF7"/>
          </w:tcPr>
          <w:p>
            <w:pPr>
              <w:spacing w:after="0" w:before="0"/>
              <w:jc w:val="center"/>
            </w:pPr>
            <w:r>
              <w:t>Parkinson: SD ratio to matched proxy</w:t>
            </w:r>
            <w:r>
              <w:rPr>
                <w:rFonts w:ascii="Times New Roman" w:hAnsi="Times New Roman" w:eastAsia="Times New Roman"/>
                <w:b/>
                <w:sz w:val="18"/>
              </w:rPr>
            </w:r>
          </w:p>
        </w:tc>
        <w:tc>
          <w:tcPr>
            <w:tcW w:type="dxa" w:w="1800"/>
            <w:vAlign w:val="center"/>
            <w:shd w:fill="D9EAF7"/>
          </w:tcPr>
          <w:p>
            <w:pPr>
              <w:spacing w:after="0" w:before="0"/>
              <w:jc w:val="center"/>
            </w:pPr>
            <w:r>
              <w:t>Rogers-Satchell: SD ratio to matched proxy</w:t>
            </w:r>
            <w:r>
              <w:rPr>
                <w:rFonts w:ascii="Times New Roman" w:hAnsi="Times New Roman" w:eastAsia="Times New Roman"/>
                <w:b/>
                <w:sz w:val="18"/>
              </w:rPr>
            </w:r>
          </w:p>
        </w:tc>
        <w:tc>
          <w:tcPr>
            <w:tcW w:type="dxa" w:w="1440"/>
            <w:vAlign w:val="center"/>
            <w:shd w:fill="D9EAF7"/>
          </w:tcPr>
          <w:p>
            <w:pPr>
              <w:spacing w:after="0" w:before="0"/>
              <w:jc w:val="center"/>
            </w:pPr>
            <w:r>
              <w:t>Zero range</w:t>
            </w:r>
            <w:r>
              <w:rPr>
                <w:rFonts w:ascii="Times New Roman" w:hAnsi="Times New Roman" w:eastAsia="Times New Roman"/>
                <w:b/>
                <w:sz w:val="18"/>
              </w:rPr>
            </w:r>
          </w:p>
        </w:tc>
      </w:tr>
      <w:tr>
        <w:tc>
          <w:tcPr>
            <w:tcW w:type="dxa" w:w="1930"/>
          </w:tcPr>
          <w:p>
            <w:r>
              <w:t>NIFTY 50</w:t>
            </w:r>
          </w:p>
        </w:tc>
        <w:tc>
          <w:tcPr>
            <w:tcW w:type="dxa" w:w="1930"/>
          </w:tcPr>
          <w:p>
            <w:r>
              <w:t>Dense</w:t>
            </w:r>
          </w:p>
        </w:tc>
        <w:tc>
          <w:tcPr>
            <w:tcW w:type="dxa" w:w="1930"/>
          </w:tcPr>
          <w:p>
            <w:r>
              <w:t>0.978</w:t>
            </w:r>
          </w:p>
        </w:tc>
        <w:tc>
          <w:tcPr>
            <w:tcW w:type="dxa" w:w="1930"/>
          </w:tcPr>
          <w:p>
            <w:r>
              <w:t>0.98</w:t>
            </w:r>
          </w:p>
        </w:tc>
        <w:tc>
          <w:tcPr>
            <w:tcW w:type="dxa" w:w="1930"/>
          </w:tcPr>
          <w:p>
            <w:r>
              <w:t>0.00%</w:t>
            </w:r>
          </w:p>
        </w:tc>
      </w:tr>
      <w:tr>
        <w:tc>
          <w:tcPr>
            <w:tcW w:type="dxa" w:w="1930"/>
          </w:tcPr>
          <w:p>
            <w:r>
              <w:t>NEPSE equity - thin</w:t>
            </w:r>
          </w:p>
        </w:tc>
        <w:tc>
          <w:tcPr>
            <w:tcW w:type="dxa" w:w="1930"/>
          </w:tcPr>
          <w:p>
            <w:r>
              <w:t>33</w:t>
            </w:r>
          </w:p>
        </w:tc>
        <w:tc>
          <w:tcPr>
            <w:tcW w:type="dxa" w:w="1930"/>
          </w:tcPr>
          <w:p>
            <w:r>
              <w:t>0.934</w:t>
            </w:r>
          </w:p>
        </w:tc>
        <w:tc>
          <w:tcPr>
            <w:tcW w:type="dxa" w:w="1930"/>
          </w:tcPr>
          <w:p>
            <w:r>
              <w:t>0.955</w:t>
            </w:r>
          </w:p>
        </w:tc>
        <w:tc>
          <w:tcPr>
            <w:tcW w:type="dxa" w:w="1930"/>
          </w:tcPr>
          <w:p>
            <w:r>
              <w:t>1.66%</w:t>
            </w:r>
          </w:p>
        </w:tc>
      </w:tr>
      <w:tr>
        <w:tc>
          <w:tcPr>
            <w:tcW w:type="dxa" w:w="1930"/>
          </w:tcPr>
          <w:p>
            <w:r>
              <w:t>NEPSE equity</w:t>
            </w:r>
          </w:p>
        </w:tc>
        <w:tc>
          <w:tcPr>
            <w:tcW w:type="dxa" w:w="1930"/>
          </w:tcPr>
          <w:p>
            <w:r>
              <w:t>77</w:t>
            </w:r>
          </w:p>
        </w:tc>
        <w:tc>
          <w:tcPr>
            <w:tcW w:type="dxa" w:w="1930"/>
          </w:tcPr>
          <w:p>
            <w:r>
              <w:t>1.058</w:t>
            </w:r>
          </w:p>
        </w:tc>
        <w:tc>
          <w:tcPr>
            <w:tcW w:type="dxa" w:w="1930"/>
          </w:tcPr>
          <w:p>
            <w:r>
              <w:t>1.145</w:t>
            </w:r>
          </w:p>
        </w:tc>
        <w:tc>
          <w:tcPr>
            <w:tcW w:type="dxa" w:w="1930"/>
          </w:tcPr>
          <w:p>
            <w:r>
              <w:t>0.00%</w:t>
            </w:r>
          </w:p>
        </w:tc>
      </w:tr>
      <w:tr>
        <w:tc>
          <w:tcPr>
            <w:tcW w:type="dxa" w:w="1930"/>
          </w:tcPr>
          <w:p>
            <w:r>
              <w:t>NEPSE equity</w:t>
            </w:r>
          </w:p>
        </w:tc>
        <w:tc>
          <w:tcPr>
            <w:tcW w:type="dxa" w:w="1930"/>
          </w:tcPr>
          <w:p>
            <w:r>
              <w:t>131</w:t>
            </w:r>
          </w:p>
        </w:tc>
        <w:tc>
          <w:tcPr>
            <w:tcW w:type="dxa" w:w="1930"/>
          </w:tcPr>
          <w:p>
            <w:r>
              <w:t>1.043</w:t>
            </w:r>
          </w:p>
        </w:tc>
        <w:tc>
          <w:tcPr>
            <w:tcW w:type="dxa" w:w="1930"/>
          </w:tcPr>
          <w:p>
            <w:r>
              <w:t>1.113</w:t>
            </w:r>
          </w:p>
        </w:tc>
        <w:tc>
          <w:tcPr>
            <w:tcW w:type="dxa" w:w="1930"/>
          </w:tcPr>
          <w:p>
            <w:r>
              <w:t>0.00%</w:t>
            </w:r>
          </w:p>
        </w:tc>
      </w:tr>
      <w:tr>
        <w:tc>
          <w:tcPr>
            <w:tcW w:type="dxa" w:w="1930"/>
          </w:tcPr>
          <w:p>
            <w:r>
              <w:t>NEPSE equity</w:t>
            </w:r>
          </w:p>
        </w:tc>
        <w:tc>
          <w:tcPr>
            <w:tcW w:type="dxa" w:w="1930"/>
          </w:tcPr>
          <w:p>
            <w:r>
              <w:t>208</w:t>
            </w:r>
          </w:p>
        </w:tc>
        <w:tc>
          <w:tcPr>
            <w:tcW w:type="dxa" w:w="1930"/>
          </w:tcPr>
          <w:p>
            <w:r>
              <w:t>1.029</w:t>
            </w:r>
          </w:p>
        </w:tc>
        <w:tc>
          <w:tcPr>
            <w:tcW w:type="dxa" w:w="1930"/>
          </w:tcPr>
          <w:p>
            <w:r>
              <w:t>1.085</w:t>
            </w:r>
          </w:p>
        </w:tc>
        <w:tc>
          <w:tcPr>
            <w:tcW w:type="dxa" w:w="1930"/>
          </w:tcPr>
          <w:p>
            <w:r>
              <w:t>0.00%</w:t>
            </w:r>
          </w:p>
        </w:tc>
      </w:tr>
      <w:tr>
        <w:tc>
          <w:tcPr>
            <w:tcW w:type="dxa" w:w="1930"/>
          </w:tcPr>
          <w:p>
            <w:r>
              <w:t>NEPSE equity</w:t>
            </w:r>
          </w:p>
        </w:tc>
        <w:tc>
          <w:tcPr>
            <w:tcW w:type="dxa" w:w="1930"/>
          </w:tcPr>
          <w:p>
            <w:r>
              <w:t>350</w:t>
            </w:r>
          </w:p>
        </w:tc>
        <w:tc>
          <w:tcPr>
            <w:tcW w:type="dxa" w:w="1930"/>
          </w:tcPr>
          <w:p>
            <w:r>
              <w:t>1.0</w:t>
            </w:r>
          </w:p>
        </w:tc>
        <w:tc>
          <w:tcPr>
            <w:tcW w:type="dxa" w:w="1930"/>
          </w:tcPr>
          <w:p>
            <w:r>
              <w:t>1.029</w:t>
            </w:r>
          </w:p>
        </w:tc>
        <w:tc>
          <w:tcPr>
            <w:tcW w:type="dxa" w:w="1930"/>
          </w:tcPr>
          <w:p>
            <w:r>
              <w:t>0.00%</w:t>
            </w:r>
          </w:p>
        </w:tc>
      </w:tr>
      <w:tr>
        <w:tc>
          <w:tcPr>
            <w:tcW w:type="dxa" w:w="1930"/>
          </w:tcPr>
          <w:p>
            <w:r>
              <w:t>NEPSE equity - dense</w:t>
            </w:r>
          </w:p>
        </w:tc>
        <w:tc>
          <w:tcPr>
            <w:tcW w:type="dxa" w:w="1930"/>
          </w:tcPr>
          <w:p>
            <w:r>
              <w:t>787</w:t>
            </w:r>
          </w:p>
        </w:tc>
        <w:tc>
          <w:tcPr>
            <w:tcW w:type="dxa" w:w="1930"/>
          </w:tcPr>
          <w:p>
            <w:r>
              <w:t>0.972</w:t>
            </w:r>
          </w:p>
        </w:tc>
        <w:tc>
          <w:tcPr>
            <w:tcW w:type="dxa" w:w="1930"/>
          </w:tcPr>
          <w:p>
            <w:r>
              <w:t>0.972</w:t>
            </w:r>
          </w:p>
        </w:tc>
        <w:tc>
          <w:tcPr>
            <w:tcW w:type="dxa" w:w="1930"/>
          </w:tcPr>
          <w:p>
            <w:r>
              <w:t>0.00%</w:t>
            </w:r>
          </w:p>
        </w:tc>
      </w:tr>
    </w:tbl>
    <w:p>
      <w:pPr>
        <w:spacing w:after="40"/>
      </w:pPr>
    </w:p>
    <w:p>
      <w:pPr>
        <w:pStyle w:val="Heading2"/>
      </w:pPr>
      <w:r>
        <w:t>6.3 India VIX: a forward-looking test, and a trailing co-movement check</w:t>
      </w:r>
    </w:p>
    <w:p>
      <w:r>
        <w:t>The most relevant external check for the paper's motivating question comes from India, where the NIFTY 50 has both cash-market OHLC data and an options-based volatility index. India VIX is a forward-looking, risk-neutral expectation of volatility over the following 30 calendar days; the estimators in this paper are backward-looking statistical measures of variation that has already happened. Those are different objects pointing in opposite directions in time, and a comparison that ignores the difference cannot support a forecasting claim. We therefore run the test the horizons actually license. For each origin date t we take India VIX observed at t and measure realised NIFTY volatility over the window (t, t+30 calendar days], excluding session t itself because India VIX is disseminated from quotes during that session. Windows are non-overlapping in the primary specification, giving 190 forecast origins between 2010-01-04 and 2026-04-30. Against forward realised volatility, close-to-close correlates at 0.695 [0.498, 0.770] and Parkinson at 0.630 [0.452, 0.723] (Table 23), where the intervals come from a paired stationary block bootstrap rather than an analytic formula, at a mean block length of 10.88 origins. That length is selected from the data rather than chosen by hand: the Politis-White procedure is applied to each of the three series entering the comparison (India VIX and the two forward realised-volatility series, giving 10.88, 5.19, 3.56 origins respectively) and we take the largest. That aggregation is our own conservative rule, adopted post hoc — the Politis-White procedure selects a length for a single series and prescribes nothing about combining several — so the per-series selections are reported in Table 28 for a reader who would aggregate differently. With 190 forecast origins and a selected mean block length of 10.88 origins, each bootstrap replicate contains approximately 17 expected-length blocks. This limited amount of independent temporal information motivates reporting block-length sensitivities, which appear in Table 28 and leave the verdict unchanged — non-overlapping windows remove the mechanical overlap between outcomes but not the persistence of volatility itself, and the lag-1 autocorrelation across these origins reaches 0.646, so an interval assuming independent observations would be materially too narrow (the analytic Fisher-z interval for close-to-close is [0.613, 0.762], barely half the width; Table 28); in changes the corresponding figures are 0.463 and 0.282. Calibration slopes are below one in point estimate (0.844 for close-to-close, 0.595 for Parkinson), which would mean realised volatility responds less than one-for-one to VIX. Under the same dependence-aware inference that claim survives for Parkinson, whose slope interval is [0.454, 0.700], but not for close-to-close, whose interval [0.557, 1.027] contains one; we therefore do not assert attenuation for the close-to-close measure. That on its own says nothing about whether VIX sits above or below what follows it, so the forecast error is reported directly. India VIX exceeds subsequent realised volatility by a mean of 2.99 volatility points [2.19, 3.77] against the close-to-close measure and 5.41 [4.63, 6.08] against Parkinson; the mean ratio of VIX to realised volatility is 1.291 [1.247, 1.339] and 1.523 [1.475, 1.574] respectively; and VIX is the larger of the two in 82% and 94% of windows. Read jointly, the intercepts (-0.212 and 1.812) and slopes place fitted realised volatility below VIX across the observed range. This is consistent with a volatility risk premium, but it does not prove one: differences in index construction, the two markets' trading calendars, the treatment of jumps, and the gap between a risk-neutral and a physical expectation can each push the same difference in the same direction. The size of the gap also depends on which realised measure is used — it is markedly larger against the range estimators than against close-to-close — which is itself a sign that construction, not only compensation for risk, is part of it (Table 26). The design, the reporting set and the decision rule applied below were fixed before any of these numbers were computed.</w:t>
      </w:r>
    </w:p>
    <w:p>
      <w:r>
        <w:t>Neither estimator can be declared superior on this evidence. The difference in forward correlation, Parkinson minus close-to-close, is -0.064 with a 95% bootstrap interval of [-0.169, 0.065], which contains zero; under the pre-committed decision rule that outcome is inconclusive and no estimator-superiority claim follows. What can be said is that close-to-close is nominally ahead of Parkinson on every forward metric — levels, changes and the lead-lag profile — so nothing here supports the range estimator over the simple one. The lead-lag comparison is the more informative result. On the same origins, the same VIX observation correlates 0.806 with the 30 days BEFORE it against 0.694 with the 30 days after it for close-to-close, and 0.778 against 0.629 for Parkinson (Table 24). The trailing comparison reported in earlier versions of this paper was therefore measuring persistence and contemporaneous co-movement rather than forecasting skill, and it is retained below only on that basis. Two numbers from those earlier versions should also be reconciled explicitly, because both have circulated: the Parkinson–VIX correlations of 0.776 and 0.832 differ only by whether the 5 October 2012 NSE flash-crash session is in the sample, and the R² values of 0.602 and 0.692 are not independent quantities at all but the squares of those two correlations. All four are trailing-horizon numbers and none of them is forecasting evidence.</w:t>
      </w:r>
    </w:p>
    <w:p>
      <w:pPr/>
      <w:r>
        <w:t>That difference must be a paired comparison, and the inference behind it is reported rather than asserted (Table 27). The two correlations are computed from the same India VIX observations over the same windows, and their outcomes — forward Parkinson and forward close-to-close volatility — themselves correlate at 0.889, so treating them as two independent correlations would be invalid. Every bootstrap replicate therefore draws one index and applies it to all three series together, keeping each window's triple intact. The consequence is large: the paired interval on the difference is [-0.169, 0.065], of width 0.234, against [-0.381, 0.266] and width 0.648 for the invalid independent calculation. A percentile interval computed from paired stationary-block bootstrap replicates after Fisher-z transformation gives [-0.270, 0.154], also containing zero. One check disagrees: Williams' t for two dependent correlations sharing a variable is -2.59, which would reject equality in close-to-close's favour. That test assumes trivariate normality, which strongly right-skewed volatility data violate, and both paired bootstrap intervals, which avoid that assumption, contain zero; the disagreement is reported rather than resolved by preference, and the decision rule fixed in advance was stated on the bootstrap interval. What no method supports, on any of these calculations, is Parkinson over close-to-close. Pairing is necessary but not sufficient: an ordinary row-wise resample would still treat the forecast origins as exchangeable, which the autocorrelation above shows they are not. The difference was therefore also recomputed under a paired stationary block bootstrap at a mean block length of 10.88 origins, selected from the data; it contains zero there ([-0.164, 0.095]) and at every length in the sensitivity grid, so the inconclusive verdict is not an artifact of assuming independence.</w:t>
      </w:r>
    </w:p>
    <w:p>
      <w:pPr/>
      <w:r>
        <w:t>Descriptive co-movement, horizon-mismatched. The comparison reported in earlier versions of this paper is retained here, relabelled, because it has been circulated and should be reconcilable rather than quietly withdrawn. It correlates a TRAILING 21-session realised measure against a same-day India VIX that refers to the following 30 calendar days, so it is horizon-mismatched by construction, uses heavily overlapping windows, and is unsuitable for forecasting validation. On 3,999 matched observations over the full India VIX history, the trailing Parkinson series correlates 0.776 with India VIX and the trailing close-to-close series 0.796. Excluding the 5 October 2012 NSE flash-crash session — a genuine recorded session, retained in every reported result, whose extreme range enters the Parkinson series without a matching move in close-to-close volatility or the VIX — the Parkinson figure becomes 0.832. Restricting instead to the 557 observations from March 2024 onward that overlap the NEPSE study period lowers both, to 0.508 and 0.570 (Table 13). These are descriptive statements about co-movement between a trailing measure and a forward-looking index. The forward test above is the one that speaks to forecasting, and it is the one the conclusions rest on.</w:t>
      </w:r>
    </w:p>
    <w:p>
      <w:pPr>
        <w:pStyle w:val="Heading2"/>
      </w:pPr>
      <w:r>
        <w:t>6.4 Why an additive correction is not automatically better</w:t>
      </w:r>
    </w:p>
    <w:p>
      <w:r>
        <w:t>The AddRS correction was designed for a setting in which Rogers-Satchell is downward biased because discrete observations miss path extremes. On NIFTY 50, AddRS is 1.005 relative to the matched open-to-close proxy on a standard-deviation scale, which is reassuring for the implementation. On NEPSE ordinary equities, however, no downward Rogers-Satchell deviation from the matched open-to-close proxy is detectable: the uncorrected measure is already close to or above that proxy in every stock-day liquidity quintile formed by daily transaction count. AddRS then rises to 1.149-1.323 of the proxy. The result is therefore evidence about performance relative to an imperfect proxy, not proof that the estimator's theoretical bias premise is false relative to latent variance.</w:t>
      </w:r>
    </w:p>
    <w:p>
      <w:pPr>
        <w:spacing w:after="40"/>
        <w:jc w:val="center"/>
      </w:pPr>
      <w:r>
        <w:drawing>
          <wp:inline xmlns:a="http://schemas.openxmlformats.org/drawingml/2006/main" xmlns:pic="http://schemas.openxmlformats.org/drawingml/2006/picture">
            <wp:extent cx="5303520" cy="2049432"/>
            <wp:docPr id="3" name="Picture 3"/>
            <wp:cNvGraphicFramePr>
              <a:graphicFrameLocks noChangeAspect="1"/>
            </wp:cNvGraphicFramePr>
            <a:graphic>
              <a:graphicData uri="http://schemas.openxmlformats.org/drawingml/2006/picture">
                <pic:pic>
                  <pic:nvPicPr>
                    <pic:cNvPr id="0" name="fig18_addrs_benchmark.png"/>
                    <pic:cNvPicPr/>
                  </pic:nvPicPr>
                  <pic:blipFill>
                    <a:blip r:embed="rId13"/>
                    <a:stretch>
                      <a:fillRect/>
                    </a:stretch>
                  </pic:blipFill>
                  <pic:spPr>
                    <a:xfrm>
                      <a:off x="0" y="0"/>
                      <a:ext cx="5303520" cy="2049432"/>
                    </a:xfrm>
                    <a:prstGeom prst="rect"/>
                  </pic:spPr>
                </pic:pic>
              </a:graphicData>
            </a:graphic>
          </wp:inline>
        </w:drawing>
      </w:r>
    </w:p>
    <w:p>
      <w:pPr>
        <w:pStyle w:val="FigureCaption"/>
        <w:keepNext w:val="0"/>
        <w:keepLines/>
        <w:jc w:val="left"/>
      </w:pPr>
      <w:r>
        <w:t>Figure 6. Rogers-Satchell and AddRS relative to a matched open-to-close benchmark. The correction is well behaved on NIFTY 50 but overstates NEPSE equity relative to the available benchmark in this sample.</w:t>
      </w:r>
    </w:p>
    <w:p>
      <w:pPr>
        <w:spacing w:after="80"/>
        <w:jc w:val="left"/>
      </w:pPr>
      <w:r>
        <w:rPr>
          <w:rFonts w:ascii="Times New Roman" w:hAnsi="Times New Roman"/>
          <w:b/>
          <w:sz w:val="21"/>
        </w:rPr>
        <w:t>Table 5. Additive correction relative to the matched open-to-close benchmark (SD scale)</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2016"/>
            <w:vAlign w:val="center"/>
            <w:shd w:fill="D9EAF7"/>
          </w:tcPr>
          <w:p>
            <w:pPr>
              <w:spacing w:after="0" w:before="0"/>
              <w:jc w:val="center"/>
            </w:pPr>
            <w:r>
              <w:t>Regime</w:t>
            </w:r>
            <w:r>
              <w:rPr>
                <w:rFonts w:ascii="Times New Roman" w:hAnsi="Times New Roman" w:eastAsia="Times New Roman"/>
                <w:b/>
                <w:sz w:val="18"/>
              </w:rPr>
            </w:r>
          </w:p>
        </w:tc>
        <w:tc>
          <w:tcPr>
            <w:tcW w:type="dxa" w:w="1512"/>
            <w:vAlign w:val="center"/>
            <w:shd w:fill="D9EAF7"/>
          </w:tcPr>
          <w:p>
            <w:pPr>
              <w:spacing w:after="0" w:before="0"/>
              <w:jc w:val="center"/>
            </w:pPr>
            <w:r>
              <w:t>RS: ratio to matched proxy</w:t>
            </w:r>
            <w:r>
              <w:rPr>
                <w:rFonts w:ascii="Times New Roman" w:hAnsi="Times New Roman" w:eastAsia="Times New Roman"/>
                <w:b/>
                <w:sz w:val="18"/>
              </w:rPr>
            </w:r>
          </w:p>
        </w:tc>
        <w:tc>
          <w:tcPr>
            <w:tcW w:type="dxa" w:w="1584"/>
            <w:vAlign w:val="center"/>
            <w:shd w:fill="D9EAF7"/>
          </w:tcPr>
          <w:p>
            <w:pPr>
              <w:spacing w:after="0" w:before="0"/>
              <w:jc w:val="center"/>
            </w:pPr>
            <w:r>
              <w:t>AddRS: ratio to matched proxy</w:t>
            </w:r>
            <w:r>
              <w:rPr>
                <w:rFonts w:ascii="Times New Roman" w:hAnsi="Times New Roman" w:eastAsia="Times New Roman"/>
                <w:b/>
                <w:sz w:val="18"/>
              </w:rPr>
            </w:r>
          </w:p>
        </w:tc>
        <w:tc>
          <w:tcPr>
            <w:tcW w:type="dxa" w:w="3888"/>
            <w:vAlign w:val="center"/>
            <w:shd w:fill="D9EAF7"/>
          </w:tcPr>
          <w:p>
            <w:pPr>
              <w:spacing w:after="0" w:before="0"/>
              <w:jc w:val="center"/>
            </w:pPr>
            <w:r>
              <w:t>Interpretation</w:t>
            </w:r>
            <w:r>
              <w:rPr>
                <w:rFonts w:ascii="Times New Roman" w:hAnsi="Times New Roman" w:eastAsia="Times New Roman"/>
                <w:b/>
                <w:sz w:val="18"/>
              </w:rPr>
            </w:r>
          </w:p>
        </w:tc>
      </w:tr>
      <w:tr>
        <w:tc>
          <w:tcPr>
            <w:tcW w:type="dxa" w:w="2412"/>
          </w:tcPr>
          <w:p>
            <w:r>
              <w:t>NIFTY 50</w:t>
            </w:r>
          </w:p>
        </w:tc>
        <w:tc>
          <w:tcPr>
            <w:tcW w:type="dxa" w:w="2412"/>
          </w:tcPr>
          <w:p>
            <w:r>
              <w:t>0.98</w:t>
            </w:r>
          </w:p>
        </w:tc>
        <w:tc>
          <w:tcPr>
            <w:tcW w:type="dxa" w:w="2412"/>
          </w:tcPr>
          <w:p>
            <w:r>
              <w:t>1.005</w:t>
            </w:r>
          </w:p>
        </w:tc>
        <w:tc>
          <w:tcPr>
            <w:tcW w:type="dxa" w:w="2412"/>
          </w:tcPr>
          <w:p>
            <w:r>
              <w:t>Correction lands near the matched proxy</w:t>
            </w:r>
          </w:p>
        </w:tc>
      </w:tr>
      <w:tr>
        <w:tc>
          <w:tcPr>
            <w:tcW w:type="dxa" w:w="2412"/>
          </w:tcPr>
          <w:p>
            <w:r>
              <w:t>NEPSE Q1</w:t>
            </w:r>
          </w:p>
        </w:tc>
        <w:tc>
          <w:tcPr>
            <w:tcW w:type="dxa" w:w="2412"/>
          </w:tcPr>
          <w:p>
            <w:r>
              <w:t>0.986</w:t>
            </w:r>
          </w:p>
        </w:tc>
        <w:tc>
          <w:tcPr>
            <w:tcW w:type="dxa" w:w="2412"/>
          </w:tcPr>
          <w:p>
            <w:r>
              <w:t>1.259</w:t>
            </w:r>
          </w:p>
        </w:tc>
        <w:tc>
          <w:tcPr>
            <w:tcW w:type="dxa" w:w="2412"/>
          </w:tcPr>
          <w:p>
            <w:r>
              <w:t>No RS deficit against the proxy; correction overshoots</w:t>
            </w:r>
          </w:p>
        </w:tc>
      </w:tr>
      <w:tr>
        <w:tc>
          <w:tcPr>
            <w:tcW w:type="dxa" w:w="2412"/>
          </w:tcPr>
          <w:p>
            <w:r>
              <w:t>NEPSE Q2</w:t>
            </w:r>
          </w:p>
        </w:tc>
        <w:tc>
          <w:tcPr>
            <w:tcW w:type="dxa" w:w="2412"/>
          </w:tcPr>
          <w:p>
            <w:r>
              <w:t>1.143</w:t>
            </w:r>
          </w:p>
        </w:tc>
        <w:tc>
          <w:tcPr>
            <w:tcW w:type="dxa" w:w="2412"/>
          </w:tcPr>
          <w:p>
            <w:r>
              <w:t>1.323</w:t>
            </w:r>
          </w:p>
        </w:tc>
        <w:tc>
          <w:tcPr>
            <w:tcW w:type="dxa" w:w="2412"/>
          </w:tcPr>
          <w:p>
            <w:r>
              <w:t>Base estimator already above the matched proxy</w:t>
            </w:r>
          </w:p>
        </w:tc>
      </w:tr>
      <w:tr>
        <w:tc>
          <w:tcPr>
            <w:tcW w:type="dxa" w:w="2412"/>
          </w:tcPr>
          <w:p>
            <w:r>
              <w:t>NEPSE Q3</w:t>
            </w:r>
          </w:p>
        </w:tc>
        <w:tc>
          <w:tcPr>
            <w:tcW w:type="dxa" w:w="2412"/>
          </w:tcPr>
          <w:p>
            <w:r>
              <w:t>1.108</w:t>
            </w:r>
          </w:p>
        </w:tc>
        <w:tc>
          <w:tcPr>
            <w:tcW w:type="dxa" w:w="2412"/>
          </w:tcPr>
          <w:p>
            <w:r>
              <w:t>1.283</w:t>
            </w:r>
          </w:p>
        </w:tc>
        <w:tc>
          <w:tcPr>
            <w:tcW w:type="dxa" w:w="2412"/>
          </w:tcPr>
          <w:p>
            <w:r>
              <w:t>Base estimator already above the matched proxy</w:t>
            </w:r>
          </w:p>
        </w:tc>
      </w:tr>
      <w:tr>
        <w:tc>
          <w:tcPr>
            <w:tcW w:type="dxa" w:w="2412"/>
          </w:tcPr>
          <w:p>
            <w:r>
              <w:t>NEPSE Q4</w:t>
            </w:r>
          </w:p>
        </w:tc>
        <w:tc>
          <w:tcPr>
            <w:tcW w:type="dxa" w:w="2412"/>
          </w:tcPr>
          <w:p>
            <w:r>
              <w:t>1.04</w:t>
            </w:r>
          </w:p>
        </w:tc>
        <w:tc>
          <w:tcPr>
            <w:tcW w:type="dxa" w:w="2412"/>
          </w:tcPr>
          <w:p>
            <w:r>
              <w:t>1.217</w:t>
            </w:r>
          </w:p>
        </w:tc>
        <w:tc>
          <w:tcPr>
            <w:tcW w:type="dxa" w:w="2412"/>
          </w:tcPr>
          <w:p>
            <w:r>
              <w:t>Base estimator already above the matched proxy</w:t>
            </w:r>
          </w:p>
        </w:tc>
      </w:tr>
      <w:tr>
        <w:tc>
          <w:tcPr>
            <w:tcW w:type="dxa" w:w="2412"/>
          </w:tcPr>
          <w:p>
            <w:r>
              <w:t>NEPSE Q5</w:t>
            </w:r>
          </w:p>
        </w:tc>
        <w:tc>
          <w:tcPr>
            <w:tcW w:type="dxa" w:w="2412"/>
          </w:tcPr>
          <w:p>
            <w:r>
              <w:t>0.977</w:t>
            </w:r>
          </w:p>
        </w:tc>
        <w:tc>
          <w:tcPr>
            <w:tcW w:type="dxa" w:w="2412"/>
          </w:tcPr>
          <w:p>
            <w:r>
              <w:t>1.149</w:t>
            </w:r>
          </w:p>
        </w:tc>
        <w:tc>
          <w:tcPr>
            <w:tcW w:type="dxa" w:w="2412"/>
          </w:tcPr>
          <w:p>
            <w:r>
              <w:t>Correction still overshoots</w:t>
            </w:r>
          </w:p>
        </w:tc>
      </w:tr>
    </w:tbl>
    <w:p>
      <w:pPr>
        <w:spacing w:after="40"/>
      </w:pPr>
    </w:p>
    <w:p>
      <w:r>
        <w:t>This is a general lesson for frontier-market work. The AddRS increment is non-negative. Let x = ln(C/O), and let I_u and I_v denote the upper- and lower-boundary indicators used by the implementation. The code reduces exactly to AddRS = RS + (x²/2)(I_u + I_v), so in expectation E[AddRS] = E[RS] + (1/2)E[x²(I_u + I_v)]. Both indicators can fire on a fully monotone bar. Therefore, if Rogers-Satchell is already unbiased for the target variance in a regime and the boundary term has positive expectation, AddRS has positive expected bias relative to that target. Because true latent variance is unobserved here, the empirical conclusion remains narrower: no downward Rogers-Satchell deviation from the matched open-to-close proxy is detectable, while AddRS overshoots that proxy in the NEPSE equity sample.</w:t>
      </w:r>
    </w:p>
    <w:p>
      <w:pPr>
        <w:pStyle w:val="Heading2"/>
      </w:pPr>
      <w:r>
        <w:t>6.5 Robustness</w:t>
      </w:r>
    </w:p>
    <w:p>
      <w:pPr/>
      <w:r>
        <w:t>Nine checks bound the results above. Each is produced by a named producer script and each is reported whether or not it is favourable.</w:t>
      </w:r>
    </w:p>
    <w:p>
      <w:pPr/>
      <w:r>
        <w:t>Predetermined liquidity. Repeating the Section 6.2 sort on predetermined rather than same-day activity changes the gradient but not the conclusion (Table 6, discussed in Section 6.2). Under the security-level sort the least active bucket sits at 1.022 of the matched proxy and under the lagged 60-session sort at 1.025, in both cases above one rather than below.</w:t>
      </w:r>
    </w:p>
    <w:p>
      <w:pPr/>
      <w:r>
        <w:t>Uncertainty. All ratios are reported with 95% percentile intervals from a bootstrap that resamples securities and calendar dates jointly, using the multiway or pigeonhole scheme of Davezies, D'Haultfœuille and Guyonvarch (2021) and, for the calendar-date dimension specifically, the stationary block bootstrap of Politis and Romano (1994) alongside the multiway-clustering framework of Cameron, Gelbach and Miller (2011). Both dimensions are necessary. Observations within a security are serially dependent and share a liquidity regime, and a market-wide shock on a given date moves every security at once; clustering on security alone, as an earlier version of this analysis did, understates the intervals by a factor of roughly two on this panel. Under the two-way intervals, 8 of the 15 liquidity buckets have a Parkinson interval excluding one, against twelve under security-only clustering. The small deviations from the proxy are therefore detectable in some buckets and not in others, and are economically modest throughout. Because the proxy is imperfect, an interval excluding one means the estimator differs detectably from the proxy, not that it is biased.</w:t>
      </w:r>
    </w:p>
    <w:p>
      <w:pPr/>
      <w:r>
        <w:t>All six estimators, on matched rows. Table 7 evaluates every estimator the paper names against a proxy matched to its scope — open-to-close for the within-session estimators, close-to-close for close-to-close and Yang-Zhang — and, equally importantly, on the rows where the estimator and its proxy are both defined. Scope matching alone is not sufficient in two distinct ways. First, Yang-Zhang requires a 21-session window and close-to-close requires a previous session, so the estimators do not share a sample; averaging Yang-Zhang over its own 135,899 matched stock-days while averaging the proxy over a larger, unmatched sample gives 1.245, which is the scope error of Section 5.4 in a different guise, and matching the rows alone raises the figure to 1.288. Second, a matched sample is not a matched horizon: Yang-Zhang integrates variance over 21 sessions, and 1.288 still scores it against the squared return of the current session alone. Benchmarking it instead against close-to-close sample variance over the same 21-session window (Section 4.5) moves the figure to 1.273, and adjusting the previous close for the corporate actions identified in Section 4.5 moves it to the adopted figure of 1.280 [1.258, 1.303] on 135,899 matched stock-days (Table 12), which is what Table 7 and Section 7.2 report. The previous close enters Yang-Zhang's own overnight term as well as the benchmark's close-to-close return, so each figure quoted here is computed with the same definition on both sides; an earlier revision applied the adjustment to the benchmark only and reported the resulting mixed-definition ratio of 1.309, which no single specification produces. Scoring Yang-Zhang against an open-to-close proxy would repeat the sample-scope error again, by penalising it for the overnight variance it exists to include. Close-to-close against itself is one by construction and anchors the scale. Section 6.7 accounts for the Yang-Zhang figure: most of its excess is the overnight-intraday covariance the estimator assumes away.</w:t>
      </w:r>
    </w:p>
    <w:p>
      <w:pPr/>
      <w:r>
        <w:t>OHLC repair. The envelope repair widens the high and low to contain the open and close, and the range estimators are functions of exactly that range, so the repair can only push range variance upward. Excluding all 122 repaired ordinary-equity rows rather than correcting them changes no estimator ratio by more than 0.0001 (Table 8). The repair is immaterial to every reported conclusion.</w:t>
      </w:r>
    </w:p>
    <w:p>
      <w:pPr/>
      <w:r>
        <w:t>Cross-market proxy. The NIFTY reference numbers depend materially on one session; see Sections 6.3 and 10, and its India VIX co-movement figures depend materially on the sample window, reported over both the full India VIX history and the NEPSE-overlap window (Table 13; Section 6.3).</w:t>
      </w:r>
    </w:p>
    <w:p>
      <w:pPr/>
      <w:r>
        <w:t>Panel balance and the extreme thin tail. The equity panel is 99.4% filled once a security's own listing window is the denominator, and a small extreme thin tail of 4 securities is reported separately from the liquidity-quintile average that would otherwise absorb it (Tables 10-11, discussed in Section 6.1).</w:t>
      </w:r>
    </w:p>
    <w:p>
      <w:pPr/>
      <w:r>
        <w:t>Information content. A ratio near one is a statement about aggregate scale; Pearson and Spearman correlation with the matched proxy are reported alongside it, because two estimators can share a scale while tracking the proxy with materially different fidelity (Table 14, discussed in Section 6.2).</w:t>
      </w:r>
    </w:p>
    <w:p>
      <w:pPr/>
      <w:r>
        <w:t>Dependence structure. The two-way bootstrap resamples calendar dates independently and cannot see correlation between adjacent sessions; a stationary block bootstrap over dates is reported alongside it for all six named estimators of Table 7, and changes which of them are distinguishable from the matched proxy (Table 15, discussed in Section 6.2).</w:t>
      </w:r>
    </w:p>
    <w:p>
      <w:pPr/>
      <w:r>
        <w:t>Calendar and staleness. The data-detected trading calendar is cross-checked against an independently sourced session record and the session count is reported across the full range of plausible staleness thresholds (Table 16, discussed in Section 3).</w:t>
      </w:r>
    </w:p>
    <w:p>
      <w:pPr>
        <w:pStyle w:val="Heading2"/>
      </w:pPr>
      <w:r>
        <w:t>6.6 Calibration slopes: what a ratio cannot see</w:t>
      </w:r>
    </w:p>
    <w:p>
      <w:pPr/>
      <w:r>
        <w:t>Every comparison so far is a ratio of means, and a ratio cannot tell an estimator that tracks variance from one whose distortions cancel. A thin market produces two distortions that pull in opposite directions. With few trades the observed extremes come from a short sample, so a range estimator responds less than one-for-one to latent variance, a multiplicative distortion. Bid-ask bounce and transient auction errors add a component that does not scale with it, an additive one. Writing each estimator as X = α + β·IV + U, its mean ratio to the proxy is exactly β + δ, a calibration slope plus an additive share, so a ratio of one is consistent with a slope of 0.7 offset by an additive share of 0.3. The slope can be identified without a high-frequency benchmark from volatility persistence. Lagged realised measures predict a session's variance and, if measurement errors are not serially correlated, are uncorrelated with its measurement error; under that assumption, which persistence alone does not guarantee, they are valid instruments however strongly the estimators' same-day errors are correlated. The device is the errors-in-variables remedy of Christensen and Prabhala (1998) and the lagged-instrument logic of Hansen and Lunde (2014); only its application to daily-bar estimators is new here. Security effects are removed by forward orthogonal deviations (Arellano &amp; Bover, 1995), so that no instrument sees the session it instruments. The specification, the decision rules and a Monte Carlo validation on simulated NEPSE-like panels were fixed before any slope was computed on the data.</w:t>
      </w:r>
    </w:p>
    <w:p>
      <w:pPr/>
      <w:r>
        <w:t>The near-unit ratios survive the test (Table 29, Figure 7). Parkinson's calibration slope is 0.919 [0.760, 1.056], Garman-Klass's 0.887 [0.668, 1.078] and Rogers-Satchell's 0.912 [0.650, 1.135]. Every interval contains one, so the frozen verdict for all three is no detectable attenuation, and Parkinson's slope stays between 0.910 and 1.042 across the sensitivity specifications. Containing one is not equivalence: Parkinson's interval allows attenuation of up to 24%. The instruments are also weaker than the conventional first-stage statistic (F = 556) suggests: with errors clustered by security and date, the primary specification's effective F (Montiel Olea &amp; Pflueger, 2013) is 19.4, below the threshold of 23.1 for a worst-case bias of 10%, while instruments dated two sessions back reach 29.9 (a post hoc check). The additive correction behaves differently. AddRS's ratio of 1.501 on the variance scale decomposes into a slope of 1.344 [1.092, 1.534] and an additive share of 0.157, so its overshoot is mostly a slope problem: it rises about a third more than the proxy when predictable variance rises. An average-price estimator built from the session VWAP is amplified further (1.655 [1.276, 1.959]). The naive statistics a reader might have used instead say nothing about calibration: the OLS slopes of the range estimators on the proxy run from 0.16 to 0.47 and their correlations from 0.19 to 0.72. Three pre-specified predictions failed and are reported as such: no liquidity gradient in the slope (0.082 [-0.163, 0.342]; not detected), no closing-rule effect, and no slope change at the band reform. On NIFTY 50, India VIX, an options-implied forecast unrelated to the daily bar's sampling error, identifies the same slopes as the lagged realised measures (Parkinson 1.005 against 0.996), which corroborates the identification where it can be cross-checked.</w:t>
      </w:r>
    </w:p>
    <w:p>
      <w:pPr/>
      <w:r>
        <w:t>What the test establishes is calibration relative to the open-to-close proxy. It cannot say whether the proxy itself measures efficient within-session variance, because every estimator in the comparison, and the proxy, reads the same opening price. That is the question of Section 6.7.</w:t>
      </w:r>
    </w:p>
    <w:p>
      <w:pPr/>
      <w:r>
        <w:drawing>
          <wp:inline xmlns:a="http://schemas.openxmlformats.org/drawingml/2006/main" xmlns:pic="http://schemas.openxmlformats.org/drawingml/2006/picture">
            <wp:extent cx="5486400" cy="2194107"/>
            <wp:docPr id="7" name="Picture 7"/>
            <wp:cNvGraphicFramePr>
              <a:graphicFrameLocks noChangeAspect="1"/>
            </wp:cNvGraphicFramePr>
            <a:graphic>
              <a:graphicData uri="http://schemas.openxmlformats.org/drawingml/2006/picture">
                <pic:pic>
                  <pic:nvPicPr>
                    <pic:cNvPr id="0" name="fig22_calibration_masking.png"/>
                    <pic:cNvPicPr/>
                  </pic:nvPicPr>
                  <pic:blipFill>
                    <a:blip r:embed="rId17"/>
                    <a:stretch>
                      <a:fillRect/>
                    </a:stretch>
                  </pic:blipFill>
                  <pic:spPr>
                    <a:xfrm>
                      <a:off x="0" y="0"/>
                      <a:ext cx="5486400" cy="2194107"/>
                    </a:xfrm>
                    <a:prstGeom prst="rect"/>
                  </pic:spPr>
                </pic:pic>
              </a:graphicData>
            </a:graphic>
          </wp:inline>
        </w:drawing>
      </w:r>
    </w:p>
    <w:p>
      <w:pPr>
        <w:pStyle w:val="FigureCaption"/>
      </w:pPr>
      <w:r>
        <w:t>Figure 7. Mean ratio to the open-to-close proxy against the instrumented calibration slope, by security-level liquidity quintile, for Parkinson, Garman-Klass and Rogers-Satchell; 95% stationary block-bootstrap intervals. A ratio and a slope are different quantities: the slope is identified from volatility persistence with instruments dated t-1 (Section 6.6). Generated by scripts/34_instrumented_calibration.py.</w:t>
      </w:r>
    </w:p>
    <w:p>
      <w:pPr>
        <w:pStyle w:val="Heading2"/>
      </w:pPr>
      <w:r>
        <w:t>6.7 What the opening price measures: a pre-open band reform</w:t>
      </w:r>
    </w:p>
    <w:p>
      <w:pPr/>
      <w:r>
        <w:t>Every within-session estimator reads the opening price: the open-to-close proxy, Garman-Klass and Rogers-Satchell directly, and Parkinson whenever the open is the session's high or low. If the open carries a transient error, the estimators and their benchmark can agree because they share it, while the close-to-close return, which never reads the open, does not. That opening prices set by call auctions can be noisier than closing prices is long established (Amihud &amp; Mendelson, 1987; Stoll &amp; Whaley, 1990), and in India the return set by the opening call auction is negatively correlated with the intraday returns that follow it, which Agarwalla, Jacob and Pandey (2015) read as excessive price movement in the auction. How much of an opening price survives is measured in the price-discovery literature by the unbiasedness regression of the close-to-close return on the opening return (Biais, Hillion &amp; Spatt, 1999; Barclay &amp; Hendershott, 2003). Its slope, b = E[o r]/E[o²] with o = ln(O/C_prev) and r = ln(C/C_prev), equals one when the open anticipates the close. It falls below one when the session undoes part of the opening move, and rises above one when the session completes a move the open only began, as it should when a band truncates the open. Opens equal to the previous close contribute nothing to b, so it is unaffected by auctions that fail to match. The hypotheses and decision rules were frozen before any of these statistics was computed on the data, and the statistics were first checked on simulated panels where the truth is known.</w:t>
      </w:r>
    </w:p>
    <w:p>
      <w:pPr/>
      <w:r>
        <w:t>NEPSE's opening price is mostly transient (Table 30). Under the ±2% pre-open band, b is 0.307 [0.247, 0.376] with a last-trade close, 0.216 [0.128, 0.281] while the close was a fifteen-minute VWAP, and 0.356 [0.252, 0.512] once the last-trade close returned: the session undoes between 64% and 78% of the overnight move, in the sense of 1 - b, a projection pooled across securities and dates in which large opening moves weigh most. On the NIFTY 50 index, b is 0.929 [0.854, 0.995], a small reversal, but an index averages its constituents' opening errors, and the post hoc split reported below finds no detectable reversal of NEPSE's own market-wide opening move; the NIFTY figure therefore describes a market-wide open, not any one security's auction. The reversal is not confined to thin securities: b is below one in every security-level liquidity quintile in every regime, between 0.12 and 0.45 under the ±2% band. It is also fast: of the 69 percentage points of the opening move undone in the first regime, 57 are undone before the session's volume-weighted centre and 12 after it.</w:t>
      </w:r>
    </w:p>
    <w:p>
      <w:pPr/>
      <w:r>
        <w:t>On 20 April 2026 NEPSE widened the pre-open band from ±2% to ±5% and the daily limit from ±10% to ±15%, two weeks after moving to a Monday-Friday week. Over the 40 sessions before the week reform b was 0.436; over the 40 after the band reform it was 0.102, a change of -0.333 [-0.627, -0.067]. The nine sessions between the two reforms sit at 0.454, with the earlier window, so the break belongs to the band reform. None of 77 placebo splits of the two pre-reform years, including those straddling both closing-rule changes and the September 2025 market halt, produces a change as large: the most negative is -0.176. The frozen verdict is a sharp break (Table 31, Figure 8), and the jump is unchanged when the post-reform window starts at its sixth session (-0.336). The overnight-intraday reversal E[o c]/E[P] lies between -0.08 and -0.28 in every full month before the reform and between -0.48 and -0.63 in every full month after it.</w:t>
      </w:r>
    </w:p>
    <w:p>
      <w:pPr/>
      <w:r>
        <w:t>The price-limit literature asks whether a binding limit delays the incorporation of information, in which case pinned opens are followed by continuation (Kim &amp; Rhee, 1997), or prevents an overreaction, in which case they are followed by reversal. The frozen test predicted delayed price discovery, and the data reject it: opens pinned at the ±2% band were reversed like every other open (b = 0.447 [0.274, 0.668] in the last pre-reform regime). After the widening, the opens the old band would have pinned retain 0.174 [0.112, 0.249] of their move and those pinned at the new band 0.057 [0.008, 0.121], while opens inside ±1.9% are unchanged (0.249 against 0.261). In a post hoc tabulation, an open pinned at the new upper band (mean +4.86%) is followed by an intraday return of -4.85%, and the close retains 0.4% [-8.0%, 12.0%] of the opening move: on average, the stock ends where it closed the previous session. A second post hoc split locates the error inside each security's auction rather than in a market-wide gap: the idiosyncratic part of the opening move, which carries 88-96% of its variance, has b between 0.097 and 0.206 across regimes, while no regime shows a detectable reversal of the market-wide part (b = 1.060 [0.755, 1.396] in the first regime; every interval contains one or lies above it). The narrow band was capping transient opening moves, not holding back information, and widening it let the open travel further from where the session would close. Two qualifications bound this reading. The predicted dose-response, a larger effect for securities the old band bound more often, was not detected (difference-in-differences -0.019 [-0.173, 0.104]; from lowest to highest exposure, b fell from 0.318, 0.323, 0.323 to 0.119, 0.083, 0.105), so the identification rests on timing alone. And the band was one part of a rule package that also widened the daily limit and the band for continuous-session orders, raised the circuit-breaker thresholds and let orders be queued before the session (Section 3), with a post-reform window of 90 sessions. The fall in b is concentrated in opens beyond the old band, where the pre-open band acts, but timing cannot separate the band from the rest of the package, so the evidence concerns that package rather than the band alone.</w:t>
      </w:r>
    </w:p>
    <w:p>
      <w:pPr/>
      <w:r>
        <w:t>Three consequences follow for measurement. First, the exact identity YZ - Var(r) = (1 - k)[mean RS - Var(c)] - 2Cov(o, c) shows what Yang and Zhang's independence assumption costs. Over all 135,899 21-session windows, Yang-Zhang is 1.637 [1.481, 1.847] times the matched close-to-close variance, the 1.280 of Section 6.5 on the standard-deviation scale, and 75.6% [66.2%, 86.9%] of the excess is the overnight-intraday covariance. The ratio rises from 1.551 to 2.682 across the reform (frozen verdict: confirmed), while on the NIFTY 50 index Yang-Zhang matches close-to-close (0.960 [0.922, 1.006]). Second, Parkinson inherits the open's error whenever the open is the session's high or low, which a non-stale NEPSE open is on 36% of sessions in the first regime and 51% after the reform (post hoc). Third, a ratio to the open-to-close proxy cannot see this. Across the reform Parkinson's ratio to the proxy moves from 0.977 to 0.880, a change of -0.097 [-0.224, 0.024] whose interval contains zero, while its ratio to the noise-robust kernel K = c² + oc + co′, the daily analogue of Zhou's (1996) first-order correction, rises from 1.191 to 2.009, a change of 0.818 [0.362, 1.413] (Table 32). The frozen rule therefore returns 'no inversion established', but the asymmetry is the point. The kernel is unbiased only if the opening error is independent of overnight news, so its shares are estimates under that assumption. A post hoc bound that assumes nothing about that correlation (Appendix A) still puts the open's error at no less than 5.0% of the open-to-close proxy in the first regime and 17.2% [13.9%, 19.8%] after the reform, against 48.0% if it is independent of news.</w:t>
      </w:r>
    </w:p>
    <w:p>
      <w:pPr/>
      <w:r>
        <w:t>The close-to-close return is the one measure here that never reads the open, which is why it, rather than a range estimator, is the robust benchmark in a market whose opening auction overreacts. That is consistent with Section 6.3, where close-to-close is nominally ahead of Parkinson on every forward metric. It also accounts for the Yang-Zhang result of Section 6.5, which the earlier sections could only report: the distance from close-to-close is a property of NEPSE's opening price, not of the estimator's arithmetic.</w:t>
      </w:r>
    </w:p>
    <w:p>
      <w:pPr/>
      <w:r>
        <w:drawing>
          <wp:inline xmlns:a="http://schemas.openxmlformats.org/drawingml/2006/main" xmlns:pic="http://schemas.openxmlformats.org/drawingml/2006/picture">
            <wp:extent cx="5486400" cy="5728762"/>
            <wp:docPr id="8" name="Picture 8"/>
            <wp:cNvGraphicFramePr>
              <a:graphicFrameLocks noChangeAspect="1"/>
            </wp:cNvGraphicFramePr>
            <a:graphic>
              <a:graphicData uri="http://schemas.openxmlformats.org/drawingml/2006/picture">
                <pic:pic>
                  <pic:nvPicPr>
                    <pic:cNvPr id="0" name="fig23_opening_price.png"/>
                    <pic:cNvPicPr/>
                  </pic:nvPicPr>
                  <pic:blipFill>
                    <a:blip r:embed="rId18"/>
                    <a:stretch>
                      <a:fillRect/>
                    </a:stretch>
                  </pic:blipFill>
                  <pic:spPr>
                    <a:xfrm>
                      <a:off x="0" y="0"/>
                      <a:ext cx="5486400" cy="5728762"/>
                    </a:xfrm>
                    <a:prstGeom prst="rect"/>
                  </pic:spPr>
                </pic:pic>
              </a:graphicData>
            </a:graphic>
          </wp:inline>
        </w:drawing>
      </w:r>
    </w:p>
    <w:p>
      <w:pPr>
        <w:pStyle w:val="FigureCaption"/>
      </w:pPr>
      <w:r>
        <w:t>Figure 8. What the opening price anticipates. Panel A: the unbiasedness coefficient b = E[o r]/E[o²] by calendar month; Panel B: the overnight-intraday reversal E[o c]/E[P] by month; Panel C: b by tercile of pre-reform exposure to the band, before (A2) and after (C) the band reform; Panel D: the reform's jump in b against the 77 placebo dates. Numbered lines mark the two closing-rule changes, the trading-week reform and, solid, the band reform; 95% stationary block-bootstrap intervals. Generated by scripts/37_opening_price.py.</w:t>
      </w:r>
    </w:p>
    <w:p>
      <w:pPr>
        <w:pStyle w:val="Heading2"/>
      </w:pPr>
      <w:r>
        <w:t>6.8 An estimator for an overreacting open: Anam's estimator</w:t>
      </w:r>
    </w:p>
    <w:p>
      <w:pPr/>
      <w:r>
        <w:t>Sections 6.6 and 6.7 say what an estimator for this market needs. The open carries a transient error that the session mostly reverses, so its overnight move should count only in proportion to how much of it survives. The range still carries the information that makes range estimators efficient, but it should be measured from where the efficient open lies rather than from the printed one. Close-to-close variance, the one measure the open cannot contaminate, should carry more weight as the open degrades. And the level should be set on the close-to-close scale rather than inherited from a formula derived for a continuously observed price path. Table 33 states the estimator that follows. The open's quality is the unbiasedness coefficient b = Σ o r / Σ o² of Section 6.7, pooled over the cross-section and the last 60 dates and clipped to [0, 1]; b·o is then a shrinkage predictor of the efficient overnight log move, the part of the overnight move the session is expected to keep given o, and PC·exp(b o) the anchor it implies, which we call the effective open. The range is extended to reach it, R* = R + max(0, b o - h) + max(0, l - b o), and the daily kernel A = (1 - w)[(b o)² + R*²/(4 ln 2)] + w r² blends in close-to-close variance with weight w = 0.2(1 - b). Its level is set by κ = Σ r² / Σ A over the same trailing set, so that κ times the window mean of A is on the close-to-close scale. We refer to it as Anam's estimator. The construction is a heuristic whose level the calibration sets: the squared shrinkage predictor understates the efficient overnight second moment unless the open's error is proportional to the move, and the extended range cannot remove an opening error that is already the day's high or low (theory supplement, Proposition 7). Each ingredient has an antecedent: the range is Parkinson's (1980), the sum of an overnight and a range term follows Yang and Zhang (2000), the range extended to the previous close is Wilder's (1978) true range, and scaling a partial measure to the close-to-close scale follows the whole-day scaling of Hansen and Lunde (2005). Hansen and Lunde also weight the overnight return by an amount estimated from data, chosen for efficiency from intraday returns. What is added here is narrower: the weight is the open's unbiasedness coefficient for the close, measured from daily bars alone, and the same coefficient moves the range's anchor to the effective open and sets how much close-to-close variance is blended in. With b = 1 the kernel is the overnight-plus-Parkinson estimator; with b = 0, its open-free form, it is 0.8 times true-range Parkinson plus 0.2 r², which reads only the previous close, the high, the low and the close.</w:t>
      </w:r>
    </w:p>
    <w:p>
      <w:pPr/>
      <w:r>
        <w:t>The estimator was designed on NEPSE's first two rule regimes (A1 and B) and on simulated panels where the truth is known, each design choice scored by tuning on one regime and forecasting the other, and its constants were fixed in a plan frozen before the estimator was computed on any later observation. The later regimes were not unseen: Section 6.7's findings, which informed the design, use the whole NEPSE sample, and the NIFTY 50's unbiasedness coefficient was known; the plan lists what was known when it was frozen. The evaluation is a forecast comparison that does not need latent variance: every estimator forecasts the mean squared close-to-close return over the next 5 or 21 sessions, and QLIKE loss ranks such forecasts as the conditional mean of that target would (Patton, 2011). That conditional mean is the second moment of observed close-to-close returns, not integrated variance: the comparison is between procedures for forecasting observed return variation. Every estimator is put on the close-to-close scale by the same pooled calibration, is given its own shrinkage toward its long-run level, chosen on a training span, and is scored on a common set of forecast origins; in the plans, loss differences were tested with Newey-West statistics on the per-date difference (Diebold &amp; Mariano, 1995; Newey &amp; West, 1987). Three frozen plans supplied the test samples (Tables 34-36): NEPSE's later regimes A2 and C, the NIFTY 50 and the S&amp;P 500; stock panels from Dhaka for 2023-2026 and Vietnam for 2007-2020, with a secondary Dhaka panel for 2009-2021 whose dates had to be repaired; and the Casablanca Stock Exchange for 2012-2026. The three new markets were chosen because their daily stock data could be obtained, not for any property of their prices. Bangladesh, Vietnam and Morocco are frontier markets in MSCI's classification over the test periods, and FTSE Russell announced in October 2025 that it would reclassify Vietnam as secondary emerging from September 2026, after the Vietnamese sample ends; Nepal is not covered by the major index providers' frontier-market indices and is called a frontier market here in the descriptive sense.</w:t>
      </w:r>
    </w:p>
    <w:p>
      <w:pPr/>
      <w:r>
        <w:t>The next three paragraphs report the plans' evaluation as frozen (Tables 34-38); the corrected evaluation follows them (Table 39). An independent audit of the package (9 October 2026) found four defects in the plans' evaluation: a training origin could have its outcome inside the test span, a target of 5 or 21 sessions could stitch sessions across a security's trading gaps, zero targets were dropped, and the reported mean difference weighted forecast origins differently from its t statistic. A further plan, M20, frozen before any corrected loss was computed, removes them; where the two disagree, the corrected evaluation is the record. In the Bangladeshi, Vietnamese and Moroccan panels the frozen loss levels also include targets that are floating-point residues of equal prices, which the plans meant to drop; they raise the full form's five-session loss by 0.02 to 0.19 but change one frozen verdict (audit register M-033).</w:t>
      </w:r>
    </w:p>
    <w:p>
      <w:pPr/>
      <w:r>
        <w:t>In the plans' evaluation, the result against the classical estimators is uniform under their loss function. No classical range estimator has significantly lower loss than Anam's estimator in any of the seven test samples at either horizon (Table 34), and in every frontier-market sample it beats all six at five sessions; a post hoc recheck finds the same with longer Newey-West lags and with non-overlapping forecast origins. Two qualifications apply. On the S&amp;P 500 the index open lags the overnight move, with a pooled unbiasedness coefficient of 2.21, so the estimator's b sits at its cap of one in every test session and the estimator coincides with overnight² + Parkinson; four classical estimators had nominally lower loss there. And under an MSE loss, also post hoc, the three classical estimators that add the whole overnight move (overnight² + Parkinson, overnight² + Garman-Klass and the Yang-Zhang daily form) have significantly lower loss than the estimator in Vietnam at 21 sessions (t from −9.19 to −1.98). Its calibrated level is within 1.1% of close-to-close variance in every sample except NEPSE's post-reform regime, where it is 1.195 (Table 35), while the classical estimators err in both directions: the Yang-Zhang daily form is 1.709 times close-to-close variance in Dhaka 2023-2026, and Parkinson and Garman-Klass are 0.544 and 0.453 times it in Morocco, a thin market in which 21% of the test-span bars have no range at all. No classical formula is right in every market, which is the case for setting the level on each market's own close-to-close scale. It is a case for the calibration, not for this kernel: given the same calibration, a post hoc check finds every classical range estimator within 2.2% of close-to-close variance outside NEPSE's post-reform regime (Table 38). The level test is also partly in sample, because the calibration window contains the 21 sessions being measured; with a calibration that ends before them, the estimator is within 2.2% and the classical estimators within 4.8%. The plans' level hypotheses (H2 and F3), which set a calibrated estimator against raw ones, are therefore weak tests. Only after NEPSE's reform, where every calibration lags, does the kernel matter for the level: the estimator's 1.195 is closer to one than any calibrated classical estimator's (1.241 to 1.339).</w:t>
      </w:r>
    </w:p>
    <w:p>
      <w:pPr/>
      <w:r>
        <w:t>In the plans' evaluation, the record against close-to-close is mixed, and frozen predictions failed. At five sessions Anam's estimator beats close-to-close on the NIFTY 50 and S&amp;P 500 indices (t = −3.07 and −6.39), in Morocco (t = −2.06) and in the repaired Dhaka history (t = −6.17), but not on NEPSE's holdout (t = +1.19), in Dhaka 2023-2026 (t = −0.90) or in Vietnam (t = +0.20), where the plans had predicted that it would. On the indices it shares those wins with the classical range estimators: three of them also beat close-to-close on the NIFTY 50, and five on the S&amp;P 500. The Moroccan difference is the least secure. It comes from the 4% band regime of March 2020 to October 2021, which spans the pandemic shock (t = −5.95 there, against −0.77 to +0.83 in the other three regimes), and in a post hoc recheck it does not survive longer Newey-West lags (t = −1.85 with lags of twice the horizon), non-overlapping origins, an MSE loss or a Holm correction across the three plans (p = 0.079); the NIFTY 50 difference does not survive non-overlapping origins either (t = −1.90) (Table 37). Close-to-close is significantly better in two places: in NEPSE's sessions after the band reform (t = +3.51 at five sessions and +2.47 at 21) and in Vietnam at 21 sessions (t = +7.27). The first of these has a mechanical part. The calibration pools the last 60 dates, so after a sudden rule change it lags: in a post hoc check of four calibration windows, the frozen 60 dates among them, and a reset at the rule change, the ten-date window came closest, lowering the estimator's five-session loss in that regime from 0.7532 to 0.7063, against 0.6909 for close-to-close, so that the difference is no longer significant (t = +1.16); close-to-close kept the lower loss under every variant tried.</w:t>
      </w:r>
    </w:p>
    <w:p>
      <w:pPr/>
      <w:r>
        <w:t>The open-free form was reported, but not decided on, in the first two plans. Read after their verdicts, in a post hoc comparison, its loss was below the full estimator's in every NEPSE and every second-plan comparison, and it had the lowest five-session loss of all nine estimators in each panel of the second plan. Because that reading came after the results, the third plan tested it as a hypothesis fixed before the Moroccan data were read, and every frozen rule held: at five sessions it beat close-to-close (0.6633 against 0.6784, t = −4.53) and the full estimator (t = −4.75), it had the lowest loss of all nine estimators at both horizons, and no estimator beat it. On the two indices, whose opens do not overreact (the pooled unbiasedness coefficient is 0.95 on the NIFTY 50 and above one on the S&amp;P 500), the full form had the lower loss, though not significantly. The evidence therefore favours the open-free form over the full form where the open is unreliable, with b well below one, as it is in every frontier market examined here (0.343 to 0.653 on the new test spans and 0.130 to 0.356 across NEPSE's regimes, each pooled over the whole span), and the full form where the open is close to unbiased. A coefficient below one shows how much of the overnight move the session reverses, not why: that the reversal is overreaction is Section 6.7's evidence for NEPSE alone, and in the other markets a noisy first trade, such as a bid-ask bounce, would lower b in the same way. It does not displace the paper's benchmark: after a sudden change in market rules, close-to-close beat both forms (for the open-free form, t = +3.38 at five sessions in NEPSE's post-reform regime). And the comparison with close-to-close depends on the loss function, which the plans fixed in advance as QLIKE: under an MSE loss, a post hoc check, close-to-close beats both forms in Vietnam (t = +14.48 and +6.89 at five sessions), both forms beat close-to-close in NEPSE's holdout (t = −3.19 and −3.56) and on the S&amp;P 500, and close-to-close's advantage after the reform is no longer significant (t = −1.19 for the full form).</w:t>
      </w:r>
    </w:p>
    <w:p>
      <w:pPr/>
      <w:r>
        <w:t>The corrected evaluation (plan M20, script 47) keeps the plans' samples, horizons and estimators. A training origin is used only if its outcome ends before the test span begins; a target spans h consecutive exchange sessions and exists only if the security has a return on each; every candidate is scored with QLIKE in the form y/f + ln f, so that zero targets count, on one common sample; and inference uses the mean over stock-days, the quantity reported, with a standard error clustered by date and a Bartlett bandwidth of twice the horizon. It adds forecasts built from returns alone (an exponentially weighted average, variance-targeted GARCH(1,1) and GJR-GARCH(1,1) run in calendar time, and a HAR model of squared returns; Bollerslev, 1986; Glosten, Jagannathan &amp; Runkle, 1993; Corsi, 2009), true-range Parkinson, a HAR model of the open-free kernel, and the model confidence set of Hansen, Lunde and Nason (2011) over all seventeen forecasts.</w:t>
      </w:r>
    </w:p>
    <w:p>
      <w:pPr/>
      <w:r>
        <w:t>Before correcting anything, the script reproduces the frozen tables exactly. Of the 288 frozen comparisons between the two forms and the other estimators, 47 then change verdict, most of them wins over a classical range estimator that are no longer significant. A classical range estimator now has significantly lower loss than the full form in one of 84 comparisons on the primary test spans (Parkinson in Dhaka 2023-2026 at five sessions, t = +2.09) and than the open-free form in none. Against close-to-close, the open-free form's five-session advantage survives a Holm adjustment across the seven samples, fixed in the plan, in every sample except NEPSE, and the full form's in three: Dhaka 2009-2021 and the two indices (Table 39). Close-to-close still beats both forms after NEPSE's reform.</w:t>
      </w:r>
    </w:p>
    <w:p>
      <w:pPr/>
      <w:r>
        <w:t>The return-only forecasts change the reading most. Taking the best return-only and the best range-based forecast by training loss, the range-based one has significantly lower test loss in Dhaka 2009-2021 and Morocco at both horizons, the return-only one in Dhaka 2023-2026 at both horizons and after NEPSE's reform, and neither elsewhere: on NEPSE's holdout, the indices and Vietnam the range added no detectable forecasting information beyond returns. The Moroccan verdict is fragile to how securities and dates are weighted. The most accurate single forecast pairs the open-free measure with HAR dynamics: it has the lowest test loss in ten of the fourteen sample-horizon cells and is in every 90% model confidence set, but so is GJR-GARCH, and close-to-close with the plans' shrinkage is in only six. Among the seventeen, the open-free form never has the lowest loss. Much of the gain over the plans' benchmark is the dynamics: a HAR model of squared returns beats it in ten of the fourteen cells.</w:t>
      </w:r>
    </w:p>
    <w:p>
      <w:pPr/>
      <w:r>
        <w:t>Switching off one ingredient at a time locates what helps. Calibration does: no uncalibrated kernel beats its calibrated version. In the frontier panels, anchoring the range at the previous close and blending in 0.2 r² do. Estimating the open's coefficient does not: the full form never beats the open-free form and loses to it in seven of the fourteen cells, all in frontier panels, although it beats the form that trusts the open fully (b = 1) in ten. The overnight term with residual uncertainty that Proposition 7 of the theory supplement motivates does not improve on the frozen kernel, and loses to it in six cells. The corrected comparison also covers fewer thin securities than the plans' did, because a target over sessions on which a security did not trade cannot be scored: in Morocco's least liquid tercile only 44% of five-session origins have one.</w:t>
      </w:r>
    </w:p>
    <w:p>
      <w:pPr/>
      <w:r>
        <w:t>Table 6. Liquidity sorting: the published same-day sort against two predetermined sorts, with two-way cluster-bootstrap intervals.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tcPr>
          <w:p>
            <w:r>
              <w:t>Liquidity sort</w:t>
            </w:r>
          </w:p>
        </w:tc>
        <w:tc>
          <w:tcPr>
            <w:tcW w:type="dxa" w:w="1206"/>
          </w:tcPr>
          <w:p>
            <w:r>
              <w:t>Bucket</w:t>
            </w:r>
          </w:p>
        </w:tc>
        <w:tc>
          <w:tcPr>
            <w:tcW w:type="dxa" w:w="1206"/>
          </w:tcPr>
          <w:p>
            <w:r>
              <w:t>Stock-days</w:t>
            </w:r>
          </w:p>
        </w:tc>
        <w:tc>
          <w:tcPr>
            <w:tcW w:type="dxa" w:w="1206"/>
          </w:tcPr>
          <w:p>
            <w:r>
              <w:t>Median trades/day</w:t>
            </w:r>
          </w:p>
        </w:tc>
        <w:tc>
          <w:tcPr>
            <w:tcW w:type="dxa" w:w="1206"/>
          </w:tcPr>
          <w:p>
            <w:r>
              <w:t>Parkinson: SD ratio to matched proxy</w:t>
            </w:r>
          </w:p>
        </w:tc>
        <w:tc>
          <w:tcPr>
            <w:tcW w:type="dxa" w:w="1206"/>
          </w:tcPr>
          <w:p>
            <w:r>
              <w:t>95% CI (two-way)</w:t>
            </w:r>
          </w:p>
        </w:tc>
        <w:tc>
          <w:tcPr>
            <w:tcW w:type="dxa" w:w="1206"/>
          </w:tcPr>
          <w:p>
            <w:r>
              <w:t>Rogers-Satchell: SD ratio to matched proxy</w:t>
            </w:r>
          </w:p>
        </w:tc>
        <w:tc>
          <w:tcPr>
            <w:tcW w:type="dxa" w:w="1206"/>
          </w:tcPr>
          <w:p>
            <w:r>
              <w:t>95% CI (two-way).1</w:t>
            </w:r>
          </w:p>
        </w:tc>
      </w:tr>
      <w:tr>
        <w:tc>
          <w:tcPr>
            <w:tcW w:type="dxa" w:w="1206"/>
          </w:tcPr>
          <w:p>
            <w:r>
              <w:t>same-day (as published)</w:t>
            </w:r>
          </w:p>
        </w:tc>
        <w:tc>
          <w:tcPr>
            <w:tcW w:type="dxa" w:w="1206"/>
          </w:tcPr>
          <w:p>
            <w:r>
              <w:t>Q1</w:t>
            </w:r>
          </w:p>
        </w:tc>
        <w:tc>
          <w:tcPr>
            <w:tcW w:type="dxa" w:w="1206"/>
          </w:tcPr>
          <w:p>
            <w:r>
              <w:t>29019</w:t>
            </w:r>
          </w:p>
        </w:tc>
        <w:tc>
          <w:tcPr>
            <w:tcW w:type="dxa" w:w="1206"/>
          </w:tcPr>
          <w:p>
            <w:r>
              <w:t>37</w:t>
            </w:r>
          </w:p>
        </w:tc>
        <w:tc>
          <w:tcPr>
            <w:tcW w:type="dxa" w:w="1206"/>
          </w:tcPr>
          <w:p>
            <w:r>
              <w:t>0.952</w:t>
            </w:r>
          </w:p>
        </w:tc>
        <w:tc>
          <w:tcPr>
            <w:tcW w:type="dxa" w:w="1206"/>
          </w:tcPr>
          <w:p>
            <w:r>
              <w:t>[0.907, 0.9995]</w:t>
            </w:r>
          </w:p>
        </w:tc>
        <w:tc>
          <w:tcPr>
            <w:tcW w:type="dxa" w:w="1206"/>
          </w:tcPr>
          <w:p>
            <w:r>
              <w:t>0.986</w:t>
            </w:r>
          </w:p>
        </w:tc>
        <w:tc>
          <w:tcPr>
            <w:tcW w:type="dxa" w:w="1206"/>
          </w:tcPr>
          <w:p>
            <w:r>
              <w:t>[0.906, 1.062]</w:t>
            </w:r>
          </w:p>
        </w:tc>
      </w:tr>
      <w:tr>
        <w:tc>
          <w:tcPr>
            <w:tcW w:type="dxa" w:w="1206"/>
          </w:tcPr>
          <w:p>
            <w:r>
              <w:t>same-day (as published)</w:t>
            </w:r>
          </w:p>
        </w:tc>
        <w:tc>
          <w:tcPr>
            <w:tcW w:type="dxa" w:w="1206"/>
          </w:tcPr>
          <w:p>
            <w:r>
              <w:t>Q2</w:t>
            </w:r>
          </w:p>
        </w:tc>
        <w:tc>
          <w:tcPr>
            <w:tcW w:type="dxa" w:w="1206"/>
          </w:tcPr>
          <w:p>
            <w:r>
              <w:t>28755</w:t>
            </w:r>
          </w:p>
        </w:tc>
        <w:tc>
          <w:tcPr>
            <w:tcW w:type="dxa" w:w="1206"/>
          </w:tcPr>
          <w:p>
            <w:r>
              <w:t>92</w:t>
            </w:r>
          </w:p>
        </w:tc>
        <w:tc>
          <w:tcPr>
            <w:tcW w:type="dxa" w:w="1206"/>
          </w:tcPr>
          <w:p>
            <w:r>
              <w:t>1.058</w:t>
            </w:r>
          </w:p>
        </w:tc>
        <w:tc>
          <w:tcPr>
            <w:tcW w:type="dxa" w:w="1206"/>
          </w:tcPr>
          <w:p>
            <w:r>
              <w:t>[1.034, 1.085]</w:t>
            </w:r>
          </w:p>
        </w:tc>
        <w:tc>
          <w:tcPr>
            <w:tcW w:type="dxa" w:w="1206"/>
          </w:tcPr>
          <w:p>
            <w:r>
              <w:t>1.143</w:t>
            </w:r>
          </w:p>
        </w:tc>
        <w:tc>
          <w:tcPr>
            <w:tcW w:type="dxa" w:w="1206"/>
          </w:tcPr>
          <w:p>
            <w:r>
              <w:t>[1.104, 1.186]</w:t>
            </w:r>
          </w:p>
        </w:tc>
      </w:tr>
      <w:tr>
        <w:tc>
          <w:tcPr>
            <w:tcW w:type="dxa" w:w="1206"/>
          </w:tcPr>
          <w:p>
            <w:r>
              <w:t>same-day (as published)</w:t>
            </w:r>
          </w:p>
        </w:tc>
        <w:tc>
          <w:tcPr>
            <w:tcW w:type="dxa" w:w="1206"/>
          </w:tcPr>
          <w:p>
            <w:r>
              <w:t>Q3</w:t>
            </w:r>
          </w:p>
        </w:tc>
        <w:tc>
          <w:tcPr>
            <w:tcW w:type="dxa" w:w="1206"/>
          </w:tcPr>
          <w:p>
            <w:r>
              <w:t>28619</w:t>
            </w:r>
          </w:p>
        </w:tc>
        <w:tc>
          <w:tcPr>
            <w:tcW w:type="dxa" w:w="1206"/>
          </w:tcPr>
          <w:p>
            <w:r>
              <w:t>165</w:t>
            </w:r>
          </w:p>
        </w:tc>
        <w:tc>
          <w:tcPr>
            <w:tcW w:type="dxa" w:w="1206"/>
          </w:tcPr>
          <w:p>
            <w:r>
              <w:t>1.041</w:t>
            </w:r>
          </w:p>
        </w:tc>
        <w:tc>
          <w:tcPr>
            <w:tcW w:type="dxa" w:w="1206"/>
          </w:tcPr>
          <w:p>
            <w:r>
              <w:t>[1.021, 1.065]</w:t>
            </w:r>
          </w:p>
        </w:tc>
        <w:tc>
          <w:tcPr>
            <w:tcW w:type="dxa" w:w="1206"/>
          </w:tcPr>
          <w:p>
            <w:r>
              <w:t>1.108</w:t>
            </w:r>
          </w:p>
        </w:tc>
        <w:tc>
          <w:tcPr>
            <w:tcW w:type="dxa" w:w="1206"/>
          </w:tcPr>
          <w:p>
            <w:r>
              <w:t>[1.076, 1.147]</w:t>
            </w:r>
          </w:p>
        </w:tc>
      </w:tr>
      <w:tr>
        <w:tc>
          <w:tcPr>
            <w:tcW w:type="dxa" w:w="1206"/>
          </w:tcPr>
          <w:p>
            <w:r>
              <w:t>same-day (as published)</w:t>
            </w:r>
          </w:p>
        </w:tc>
        <w:tc>
          <w:tcPr>
            <w:tcW w:type="dxa" w:w="1206"/>
          </w:tcPr>
          <w:p>
            <w:r>
              <w:t>Q4</w:t>
            </w:r>
          </w:p>
        </w:tc>
        <w:tc>
          <w:tcPr>
            <w:tcW w:type="dxa" w:w="1206"/>
          </w:tcPr>
          <w:p>
            <w:r>
              <w:t>28609</w:t>
            </w:r>
          </w:p>
        </w:tc>
        <w:tc>
          <w:tcPr>
            <w:tcW w:type="dxa" w:w="1206"/>
          </w:tcPr>
          <w:p>
            <w:r>
              <w:t>296</w:t>
            </w:r>
          </w:p>
        </w:tc>
        <w:tc>
          <w:tcPr>
            <w:tcW w:type="dxa" w:w="1206"/>
          </w:tcPr>
          <w:p>
            <w:r>
              <w:t>1.005</w:t>
            </w:r>
          </w:p>
        </w:tc>
        <w:tc>
          <w:tcPr>
            <w:tcW w:type="dxa" w:w="1206"/>
          </w:tcPr>
          <w:p>
            <w:r>
              <w:t>[0.985, 1.027]</w:t>
            </w:r>
          </w:p>
        </w:tc>
        <w:tc>
          <w:tcPr>
            <w:tcW w:type="dxa" w:w="1206"/>
          </w:tcPr>
          <w:p>
            <w:r>
              <w:t>1.04</w:t>
            </w:r>
          </w:p>
        </w:tc>
        <w:tc>
          <w:tcPr>
            <w:tcW w:type="dxa" w:w="1206"/>
          </w:tcPr>
          <w:p>
            <w:r>
              <w:t>[1.006, 1.076]</w:t>
            </w:r>
          </w:p>
        </w:tc>
      </w:tr>
      <w:tr>
        <w:tc>
          <w:tcPr>
            <w:tcW w:type="dxa" w:w="1206"/>
          </w:tcPr>
          <w:p>
            <w:r>
              <w:t>same-day (as published)</w:t>
            </w:r>
          </w:p>
        </w:tc>
        <w:tc>
          <w:tcPr>
            <w:tcW w:type="dxa" w:w="1206"/>
          </w:tcPr>
          <w:p>
            <w:r>
              <w:t>Q5</w:t>
            </w:r>
          </w:p>
        </w:tc>
        <w:tc>
          <w:tcPr>
            <w:tcW w:type="dxa" w:w="1206"/>
          </w:tcPr>
          <w:p>
            <w:r>
              <w:t>28716</w:t>
            </w:r>
          </w:p>
        </w:tc>
        <w:tc>
          <w:tcPr>
            <w:tcW w:type="dxa" w:w="1206"/>
          </w:tcPr>
          <w:p>
            <w:r>
              <w:t>698</w:t>
            </w:r>
          </w:p>
        </w:tc>
        <w:tc>
          <w:tcPr>
            <w:tcW w:type="dxa" w:w="1206"/>
          </w:tcPr>
          <w:p>
            <w:r>
              <w:t>0.974</w:t>
            </w:r>
          </w:p>
        </w:tc>
        <w:tc>
          <w:tcPr>
            <w:tcW w:type="dxa" w:w="1206"/>
          </w:tcPr>
          <w:p>
            <w:r>
              <w:t>[0.956, 0.993]</w:t>
            </w:r>
          </w:p>
        </w:tc>
        <w:tc>
          <w:tcPr>
            <w:tcW w:type="dxa" w:w="1206"/>
          </w:tcPr>
          <w:p>
            <w:r>
              <w:t>0.977</w:t>
            </w:r>
          </w:p>
        </w:tc>
        <w:tc>
          <w:tcPr>
            <w:tcW w:type="dxa" w:w="1206"/>
          </w:tcPr>
          <w:p>
            <w:r>
              <w:t>[0.947, 1.007]</w:t>
            </w:r>
          </w:p>
        </w:tc>
      </w:tr>
      <w:tr>
        <w:tc>
          <w:tcPr>
            <w:tcW w:type="dxa" w:w="1206"/>
          </w:tcPr>
          <w:p>
            <w:r>
              <w:t>security-level (predetermined)</w:t>
            </w:r>
          </w:p>
        </w:tc>
        <w:tc>
          <w:tcPr>
            <w:tcW w:type="dxa" w:w="1206"/>
          </w:tcPr>
          <w:p>
            <w:r>
              <w:t>Q1</w:t>
            </w:r>
          </w:p>
        </w:tc>
        <w:tc>
          <w:tcPr>
            <w:tcW w:type="dxa" w:w="1206"/>
          </w:tcPr>
          <w:p>
            <w:r>
              <w:t>28770</w:t>
            </w:r>
          </w:p>
        </w:tc>
        <w:tc>
          <w:tcPr>
            <w:tcW w:type="dxa" w:w="1206"/>
          </w:tcPr>
          <w:p>
            <w:r>
              <w:t>49</w:t>
            </w:r>
          </w:p>
        </w:tc>
        <w:tc>
          <w:tcPr>
            <w:tcW w:type="dxa" w:w="1206"/>
          </w:tcPr>
          <w:p>
            <w:r>
              <w:t>1.022</w:t>
            </w:r>
          </w:p>
        </w:tc>
        <w:tc>
          <w:tcPr>
            <w:tcW w:type="dxa" w:w="1206"/>
          </w:tcPr>
          <w:p>
            <w:r>
              <w:t>[0.995, 1.049]</w:t>
            </w:r>
          </w:p>
        </w:tc>
        <w:tc>
          <w:tcPr>
            <w:tcW w:type="dxa" w:w="1206"/>
          </w:tcPr>
          <w:p>
            <w:r>
              <w:t>1.085</w:t>
            </w:r>
          </w:p>
        </w:tc>
        <w:tc>
          <w:tcPr>
            <w:tcW w:type="dxa" w:w="1206"/>
          </w:tcPr>
          <w:p>
            <w:r>
              <w:t>[1.041, 1.128]</w:t>
            </w:r>
          </w:p>
        </w:tc>
      </w:tr>
      <w:tr>
        <w:tc>
          <w:tcPr>
            <w:tcW w:type="dxa" w:w="1206"/>
          </w:tcPr>
          <w:p>
            <w:r>
              <w:t>security-level (predetermined)</w:t>
            </w:r>
          </w:p>
        </w:tc>
        <w:tc>
          <w:tcPr>
            <w:tcW w:type="dxa" w:w="1206"/>
          </w:tcPr>
          <w:p>
            <w:r>
              <w:t>Q2</w:t>
            </w:r>
          </w:p>
        </w:tc>
        <w:tc>
          <w:tcPr>
            <w:tcW w:type="dxa" w:w="1206"/>
          </w:tcPr>
          <w:p>
            <w:r>
              <w:t>31143</w:t>
            </w:r>
          </w:p>
        </w:tc>
        <w:tc>
          <w:tcPr>
            <w:tcW w:type="dxa" w:w="1206"/>
          </w:tcPr>
          <w:p>
            <w:r>
              <w:t>106</w:t>
            </w:r>
          </w:p>
        </w:tc>
        <w:tc>
          <w:tcPr>
            <w:tcW w:type="dxa" w:w="1206"/>
          </w:tcPr>
          <w:p>
            <w:r>
              <w:t>1.037</w:t>
            </w:r>
          </w:p>
        </w:tc>
        <w:tc>
          <w:tcPr>
            <w:tcW w:type="dxa" w:w="1206"/>
          </w:tcPr>
          <w:p>
            <w:r>
              <w:t>[1.015, 1.061]</w:t>
            </w:r>
          </w:p>
        </w:tc>
        <w:tc>
          <w:tcPr>
            <w:tcW w:type="dxa" w:w="1206"/>
          </w:tcPr>
          <w:p>
            <w:r>
              <w:t>1.098</w:t>
            </w:r>
          </w:p>
        </w:tc>
        <w:tc>
          <w:tcPr>
            <w:tcW w:type="dxa" w:w="1206"/>
          </w:tcPr>
          <w:p>
            <w:r>
              <w:t>[1.062, 1.136]</w:t>
            </w:r>
          </w:p>
        </w:tc>
      </w:tr>
      <w:tr>
        <w:tc>
          <w:tcPr>
            <w:tcW w:type="dxa" w:w="1206"/>
          </w:tcPr>
          <w:p>
            <w:r>
              <w:t>security-level (predetermined)</w:t>
            </w:r>
          </w:p>
        </w:tc>
        <w:tc>
          <w:tcPr>
            <w:tcW w:type="dxa" w:w="1206"/>
          </w:tcPr>
          <w:p>
            <w:r>
              <w:t>Q3</w:t>
            </w:r>
          </w:p>
        </w:tc>
        <w:tc>
          <w:tcPr>
            <w:tcW w:type="dxa" w:w="1206"/>
          </w:tcPr>
          <w:p>
            <w:r>
              <w:t>32442</w:t>
            </w:r>
          </w:p>
        </w:tc>
        <w:tc>
          <w:tcPr>
            <w:tcW w:type="dxa" w:w="1206"/>
          </w:tcPr>
          <w:p>
            <w:r>
              <w:t>170</w:t>
            </w:r>
          </w:p>
        </w:tc>
        <w:tc>
          <w:tcPr>
            <w:tcW w:type="dxa" w:w="1206"/>
          </w:tcPr>
          <w:p>
            <w:r>
              <w:t>1.011</w:t>
            </w:r>
          </w:p>
        </w:tc>
        <w:tc>
          <w:tcPr>
            <w:tcW w:type="dxa" w:w="1206"/>
          </w:tcPr>
          <w:p>
            <w:r>
              <w:t>[0.990, 1.032]</w:t>
            </w:r>
          </w:p>
        </w:tc>
        <w:tc>
          <w:tcPr>
            <w:tcW w:type="dxa" w:w="1206"/>
          </w:tcPr>
          <w:p>
            <w:r>
              <w:t>1.05</w:t>
            </w:r>
          </w:p>
        </w:tc>
        <w:tc>
          <w:tcPr>
            <w:tcW w:type="dxa" w:w="1206"/>
          </w:tcPr>
          <w:p>
            <w:r>
              <w:t>[1.015, 1.085]</w:t>
            </w:r>
          </w:p>
        </w:tc>
      </w:tr>
      <w:tr>
        <w:tc>
          <w:tcPr>
            <w:tcW w:type="dxa" w:w="1206"/>
          </w:tcPr>
          <w:p>
            <w:r>
              <w:t>security-level (predetermined)</w:t>
            </w:r>
          </w:p>
        </w:tc>
        <w:tc>
          <w:tcPr>
            <w:tcW w:type="dxa" w:w="1206"/>
          </w:tcPr>
          <w:p>
            <w:r>
              <w:t>Q4</w:t>
            </w:r>
          </w:p>
        </w:tc>
        <w:tc>
          <w:tcPr>
            <w:tcW w:type="dxa" w:w="1206"/>
          </w:tcPr>
          <w:p>
            <w:r>
              <w:t>27701</w:t>
            </w:r>
          </w:p>
        </w:tc>
        <w:tc>
          <w:tcPr>
            <w:tcW w:type="dxa" w:w="1206"/>
          </w:tcPr>
          <w:p>
            <w:r>
              <w:t>260</w:t>
            </w:r>
          </w:p>
        </w:tc>
        <w:tc>
          <w:tcPr>
            <w:tcW w:type="dxa" w:w="1206"/>
          </w:tcPr>
          <w:p>
            <w:r>
              <w:t>0.984</w:t>
            </w:r>
          </w:p>
        </w:tc>
        <w:tc>
          <w:tcPr>
            <w:tcW w:type="dxa" w:w="1206"/>
          </w:tcPr>
          <w:p>
            <w:r>
              <w:t>[0.961, 1.009]</w:t>
            </w:r>
          </w:p>
        </w:tc>
        <w:tc>
          <w:tcPr>
            <w:tcW w:type="dxa" w:w="1206"/>
          </w:tcPr>
          <w:p>
            <w:r>
              <w:t>1.003</w:t>
            </w:r>
          </w:p>
        </w:tc>
        <w:tc>
          <w:tcPr>
            <w:tcW w:type="dxa" w:w="1206"/>
          </w:tcPr>
          <w:p>
            <w:r>
              <w:t>[0.964, 1.046]</w:t>
            </w:r>
          </w:p>
        </w:tc>
      </w:tr>
      <w:tr>
        <w:tc>
          <w:tcPr>
            <w:tcW w:type="dxa" w:w="1206"/>
          </w:tcPr>
          <w:p>
            <w:r>
              <w:t>security-level (predetermined)</w:t>
            </w:r>
          </w:p>
        </w:tc>
        <w:tc>
          <w:tcPr>
            <w:tcW w:type="dxa" w:w="1206"/>
          </w:tcPr>
          <w:p>
            <w:r>
              <w:t>Q5</w:t>
            </w:r>
          </w:p>
        </w:tc>
        <w:tc>
          <w:tcPr>
            <w:tcW w:type="dxa" w:w="1206"/>
          </w:tcPr>
          <w:p>
            <w:r>
              <w:t>23662</w:t>
            </w:r>
          </w:p>
        </w:tc>
        <w:tc>
          <w:tcPr>
            <w:tcW w:type="dxa" w:w="1206"/>
          </w:tcPr>
          <w:p>
            <w:r>
              <w:t>486</w:t>
            </w:r>
          </w:p>
        </w:tc>
        <w:tc>
          <w:tcPr>
            <w:tcW w:type="dxa" w:w="1206"/>
          </w:tcPr>
          <w:p>
            <w:r>
              <w:t>0.938</w:t>
            </w:r>
          </w:p>
        </w:tc>
        <w:tc>
          <w:tcPr>
            <w:tcW w:type="dxa" w:w="1206"/>
          </w:tcPr>
          <w:p>
            <w:r>
              <w:t>[0.909, 0.967]</w:t>
            </w:r>
          </w:p>
        </w:tc>
        <w:tc>
          <w:tcPr>
            <w:tcW w:type="dxa" w:w="1206"/>
          </w:tcPr>
          <w:p>
            <w:r>
              <w:t>0.925</w:t>
            </w:r>
          </w:p>
        </w:tc>
        <w:tc>
          <w:tcPr>
            <w:tcW w:type="dxa" w:w="1206"/>
          </w:tcPr>
          <w:p>
            <w:r>
              <w:t>[0.877, 0.974]</w:t>
            </w:r>
          </w:p>
        </w:tc>
      </w:tr>
      <w:tr>
        <w:tc>
          <w:tcPr>
            <w:tcW w:type="dxa" w:w="1206"/>
          </w:tcPr>
          <w:p>
            <w:r>
              <w:t>lagged 60-session (predetermined)</w:t>
            </w:r>
          </w:p>
        </w:tc>
        <w:tc>
          <w:tcPr>
            <w:tcW w:type="dxa" w:w="1206"/>
          </w:tcPr>
          <w:p>
            <w:r>
              <w:t>Q1</w:t>
            </w:r>
          </w:p>
        </w:tc>
        <w:tc>
          <w:tcPr>
            <w:tcW w:type="dxa" w:w="1206"/>
          </w:tcPr>
          <w:p>
            <w:r>
              <w:t>27711</w:t>
            </w:r>
          </w:p>
        </w:tc>
        <w:tc>
          <w:tcPr>
            <w:tcW w:type="dxa" w:w="1206"/>
          </w:tcPr>
          <w:p>
            <w:r>
              <w:t>42</w:t>
            </w:r>
          </w:p>
        </w:tc>
        <w:tc>
          <w:tcPr>
            <w:tcW w:type="dxa" w:w="1206"/>
          </w:tcPr>
          <w:p>
            <w:r>
              <w:t>1.025</w:t>
            </w:r>
          </w:p>
        </w:tc>
        <w:tc>
          <w:tcPr>
            <w:tcW w:type="dxa" w:w="1206"/>
          </w:tcPr>
          <w:p>
            <w:r>
              <w:t>[0.9995, 1.053]</w:t>
            </w:r>
          </w:p>
        </w:tc>
        <w:tc>
          <w:tcPr>
            <w:tcW w:type="dxa" w:w="1206"/>
          </w:tcPr>
          <w:p>
            <w:r>
              <w:t>1.094</w:t>
            </w:r>
          </w:p>
        </w:tc>
        <w:tc>
          <w:tcPr>
            <w:tcW w:type="dxa" w:w="1206"/>
          </w:tcPr>
          <w:p>
            <w:r>
              <w:t>[1.053, 1.141]</w:t>
            </w:r>
          </w:p>
        </w:tc>
      </w:tr>
      <w:tr>
        <w:tc>
          <w:tcPr>
            <w:tcW w:type="dxa" w:w="1206"/>
          </w:tcPr>
          <w:p>
            <w:r>
              <w:t>lagged 60-session (predetermined)</w:t>
            </w:r>
          </w:p>
        </w:tc>
        <w:tc>
          <w:tcPr>
            <w:tcW w:type="dxa" w:w="1206"/>
          </w:tcPr>
          <w:p>
            <w:r>
              <w:t>Q2</w:t>
            </w:r>
          </w:p>
        </w:tc>
        <w:tc>
          <w:tcPr>
            <w:tcW w:type="dxa" w:w="1206"/>
          </w:tcPr>
          <w:p>
            <w:r>
              <w:t>27482</w:t>
            </w:r>
          </w:p>
        </w:tc>
        <w:tc>
          <w:tcPr>
            <w:tcW w:type="dxa" w:w="1206"/>
          </w:tcPr>
          <w:p>
            <w:r>
              <w:t>98</w:t>
            </w:r>
          </w:p>
        </w:tc>
        <w:tc>
          <w:tcPr>
            <w:tcW w:type="dxa" w:w="1206"/>
          </w:tcPr>
          <w:p>
            <w:r>
              <w:t>1.031</w:t>
            </w:r>
          </w:p>
        </w:tc>
        <w:tc>
          <w:tcPr>
            <w:tcW w:type="dxa" w:w="1206"/>
          </w:tcPr>
          <w:p>
            <w:r>
              <w:t>[1.008, 1.053]</w:t>
            </w:r>
          </w:p>
        </w:tc>
        <w:tc>
          <w:tcPr>
            <w:tcW w:type="dxa" w:w="1206"/>
          </w:tcPr>
          <w:p>
            <w:r>
              <w:t>1.089</w:t>
            </w:r>
          </w:p>
        </w:tc>
        <w:tc>
          <w:tcPr>
            <w:tcW w:type="dxa" w:w="1206"/>
          </w:tcPr>
          <w:p>
            <w:r>
              <w:t>[1.052, 1.127]</w:t>
            </w:r>
          </w:p>
        </w:tc>
      </w:tr>
      <w:tr>
        <w:tc>
          <w:tcPr>
            <w:tcW w:type="dxa" w:w="1206"/>
          </w:tcPr>
          <w:p>
            <w:r>
              <w:t>lagged 60-session (predetermined)</w:t>
            </w:r>
          </w:p>
        </w:tc>
        <w:tc>
          <w:tcPr>
            <w:tcW w:type="dxa" w:w="1206"/>
          </w:tcPr>
          <w:p>
            <w:r>
              <w:t>Q3</w:t>
            </w:r>
          </w:p>
        </w:tc>
        <w:tc>
          <w:tcPr>
            <w:tcW w:type="dxa" w:w="1206"/>
          </w:tcPr>
          <w:p>
            <w:r>
              <w:t>27676</w:t>
            </w:r>
          </w:p>
        </w:tc>
        <w:tc>
          <w:tcPr>
            <w:tcW w:type="dxa" w:w="1206"/>
          </w:tcPr>
          <w:p>
            <w:r>
              <w:t>157</w:t>
            </w:r>
          </w:p>
        </w:tc>
        <w:tc>
          <w:tcPr>
            <w:tcW w:type="dxa" w:w="1206"/>
          </w:tcPr>
          <w:p>
            <w:r>
              <w:t>1.027</w:t>
            </w:r>
          </w:p>
        </w:tc>
        <w:tc>
          <w:tcPr>
            <w:tcW w:type="dxa" w:w="1206"/>
          </w:tcPr>
          <w:p>
            <w:r>
              <w:t>[1.003, 1.052]</w:t>
            </w:r>
          </w:p>
        </w:tc>
        <w:tc>
          <w:tcPr>
            <w:tcW w:type="dxa" w:w="1206"/>
          </w:tcPr>
          <w:p>
            <w:r>
              <w:t>1.08</w:t>
            </w:r>
          </w:p>
        </w:tc>
        <w:tc>
          <w:tcPr>
            <w:tcW w:type="dxa" w:w="1206"/>
          </w:tcPr>
          <w:p>
            <w:r>
              <w:t>[1.040, 1.120]</w:t>
            </w:r>
          </w:p>
        </w:tc>
      </w:tr>
      <w:tr>
        <w:tc>
          <w:tcPr>
            <w:tcW w:type="dxa" w:w="1206"/>
          </w:tcPr>
          <w:p>
            <w:r>
              <w:t>lagged 60-session (predetermined)</w:t>
            </w:r>
          </w:p>
        </w:tc>
        <w:tc>
          <w:tcPr>
            <w:tcW w:type="dxa" w:w="1206"/>
          </w:tcPr>
          <w:p>
            <w:r>
              <w:t>Q4</w:t>
            </w:r>
          </w:p>
        </w:tc>
        <w:tc>
          <w:tcPr>
            <w:tcW w:type="dxa" w:w="1206"/>
          </w:tcPr>
          <w:p>
            <w:r>
              <w:t>27533</w:t>
            </w:r>
          </w:p>
        </w:tc>
        <w:tc>
          <w:tcPr>
            <w:tcW w:type="dxa" w:w="1206"/>
          </w:tcPr>
          <w:p>
            <w:r>
              <w:t>254</w:t>
            </w:r>
          </w:p>
        </w:tc>
        <w:tc>
          <w:tcPr>
            <w:tcW w:type="dxa" w:w="1206"/>
          </w:tcPr>
          <w:p>
            <w:r>
              <w:t>1.01</w:t>
            </w:r>
          </w:p>
        </w:tc>
        <w:tc>
          <w:tcPr>
            <w:tcW w:type="dxa" w:w="1206"/>
          </w:tcPr>
          <w:p>
            <w:r>
              <w:t>[0.990, 1.032]</w:t>
            </w:r>
          </w:p>
        </w:tc>
        <w:tc>
          <w:tcPr>
            <w:tcW w:type="dxa" w:w="1206"/>
          </w:tcPr>
          <w:p>
            <w:r>
              <w:t>1.047</w:t>
            </w:r>
          </w:p>
        </w:tc>
        <w:tc>
          <w:tcPr>
            <w:tcW w:type="dxa" w:w="1206"/>
          </w:tcPr>
          <w:p>
            <w:r>
              <w:t>[1.013, 1.083]</w:t>
            </w:r>
          </w:p>
        </w:tc>
      </w:tr>
      <w:tr>
        <w:tc>
          <w:tcPr>
            <w:tcW w:type="dxa" w:w="1206"/>
          </w:tcPr>
          <w:p>
            <w:r>
              <w:t>lagged 60-session (predetermined)</w:t>
            </w:r>
          </w:p>
        </w:tc>
        <w:tc>
          <w:tcPr>
            <w:tcW w:type="dxa" w:w="1206"/>
          </w:tcPr>
          <w:p>
            <w:r>
              <w:t>Q5</w:t>
            </w:r>
          </w:p>
        </w:tc>
        <w:tc>
          <w:tcPr>
            <w:tcW w:type="dxa" w:w="1206"/>
          </w:tcPr>
          <w:p>
            <w:r>
              <w:t>27540</w:t>
            </w:r>
          </w:p>
        </w:tc>
        <w:tc>
          <w:tcPr>
            <w:tcW w:type="dxa" w:w="1206"/>
          </w:tcPr>
          <w:p>
            <w:r>
              <w:t>500</w:t>
            </w:r>
          </w:p>
        </w:tc>
        <w:tc>
          <w:tcPr>
            <w:tcW w:type="dxa" w:w="1206"/>
          </w:tcPr>
          <w:p>
            <w:r>
              <w:t>0.988</w:t>
            </w:r>
          </w:p>
        </w:tc>
        <w:tc>
          <w:tcPr>
            <w:tcW w:type="dxa" w:w="1206"/>
          </w:tcPr>
          <w:p>
            <w:r>
              <w:t>[0.964, 1.013]</w:t>
            </w:r>
          </w:p>
        </w:tc>
        <w:tc>
          <w:tcPr>
            <w:tcW w:type="dxa" w:w="1206"/>
          </w:tcPr>
          <w:p>
            <w:r>
              <w:t>1.006</w:t>
            </w:r>
          </w:p>
        </w:tc>
        <w:tc>
          <w:tcPr>
            <w:tcW w:type="dxa" w:w="1206"/>
          </w:tcPr>
          <w:p>
            <w:r>
              <w:t>[0.966, 1.048]</w:t>
            </w:r>
          </w:p>
        </w:tc>
      </w:tr>
    </w:tbl>
    <w:p>
      <w:pPr/>
      <w:r>
        <w:t>Table 7. All six named estimators against scope- and row-matched proxies, with two-way cluster-bootstrap intervals.</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gridCol w:w="1728"/>
        <w:gridCol w:w="1728"/>
      </w:tblGrid>
      <w:tr>
        <w:trPr>
          <w:tblHeader/>
        </w:trPr>
        <w:tc>
          <w:tcPr>
            <w:tcW w:type="dxa" w:w="1378"/>
          </w:tcPr>
          <w:p>
            <w:r>
              <w:t>Estimator</w:t>
            </w:r>
          </w:p>
        </w:tc>
        <w:tc>
          <w:tcPr>
            <w:tcW w:type="dxa" w:w="1378"/>
          </w:tcPr>
          <w:p>
            <w:r>
              <w:t>Scope</w:t>
            </w:r>
          </w:p>
        </w:tc>
        <w:tc>
          <w:tcPr>
            <w:tcW w:type="dxa" w:w="1378"/>
          </w:tcPr>
          <w:p>
            <w:r>
              <w:t>Matched proxy</w:t>
            </w:r>
          </w:p>
        </w:tc>
        <w:tc>
          <w:tcPr>
            <w:tcW w:type="dxa" w:w="1378"/>
          </w:tcPr>
          <w:p>
            <w:r>
              <w:t>Matched stock-days</w:t>
            </w:r>
          </w:p>
        </w:tc>
        <w:tc>
          <w:tcPr>
            <w:tcW w:type="dxa" w:w="1378"/>
          </w:tcPr>
          <w:p>
            <w:r>
              <w:t>SD ratio to matched proxy</w:t>
            </w:r>
          </w:p>
        </w:tc>
        <w:tc>
          <w:tcPr>
            <w:tcW w:type="dxa" w:w="1378"/>
          </w:tcPr>
          <w:p>
            <w:r>
              <w:t>95% CI (two-way)</w:t>
            </w:r>
          </w:p>
        </w:tc>
        <w:tc>
          <w:tcPr>
            <w:tcW w:type="dxa" w:w="1378"/>
          </w:tcPr>
          <w:p>
            <w:r>
              <w:t>95% CI (block-date)</w:t>
            </w:r>
          </w:p>
        </w:tc>
        <w:tc>
          <w:tcPr>
            <w:tcW w:type="dxa" w:w="1728"/>
          </w:tcPr>
          <w:p>
            <w:r>
              <w:t>Verdict at +/-5% margin</w:t>
            </w:r>
          </w:p>
        </w:tc>
        <w:tc>
          <w:tcPr>
            <w:tcW w:type="dxa" w:w="1728"/>
          </w:tcPr>
          <w:p>
            <w:r>
              <w:t>Note</w:t>
            </w:r>
          </w:p>
        </w:tc>
      </w:tr>
      <w:tr>
        <w:tc>
          <w:tcPr>
            <w:tcW w:type="dxa" w:w="1378"/>
          </w:tcPr>
          <w:p>
            <w:r>
              <w:t>Parkinson</w:t>
            </w:r>
          </w:p>
        </w:tc>
        <w:tc>
          <w:tcPr>
            <w:tcW w:type="dxa" w:w="1378"/>
          </w:tcPr>
          <w:p>
            <w:r>
              <w:t>Within-session</w:t>
            </w:r>
          </w:p>
        </w:tc>
        <w:tc>
          <w:tcPr>
            <w:tcW w:type="dxa" w:w="1378"/>
          </w:tcPr>
          <w:p>
            <w:r>
              <w:t>Open-to-close 2nd moment</w:t>
            </w:r>
          </w:p>
        </w:tc>
        <w:tc>
          <w:tcPr>
            <w:tcW w:type="dxa" w:w="1378"/>
          </w:tcPr>
          <w:p>
            <w:r>
              <w:t>143,718</w:t>
            </w:r>
          </w:p>
        </w:tc>
        <w:tc>
          <w:tcPr>
            <w:tcW w:type="dxa" w:w="1378"/>
          </w:tcPr>
          <w:p>
            <w:r>
              <w:t>1.001</w:t>
            </w:r>
          </w:p>
        </w:tc>
        <w:tc>
          <w:tcPr>
            <w:tcW w:type="dxa" w:w="1378"/>
          </w:tcPr>
          <w:p>
            <w:r>
              <w:t>[0.986, 1.016]</w:t>
            </w:r>
          </w:p>
        </w:tc>
        <w:tc>
          <w:tcPr>
            <w:tcW w:type="dxa" w:w="1378"/>
          </w:tcPr>
          <w:p>
            <w:r>
              <w:t>[0.976, 1.024]</w:t>
            </w:r>
          </w:p>
        </w:tc>
        <w:tc>
          <w:tcPr>
            <w:tcW w:type="dxa" w:w="1728"/>
          </w:tcPr>
          <w:p>
            <w:r>
              <w:t>equivalent</w:t>
            </w:r>
          </w:p>
        </w:tc>
        <w:tc>
          <w:tcPr>
            <w:tcW w:type="dxa" w:w="1728"/>
          </w:tcPr>
          <w:p>
            <w:r/>
          </w:p>
        </w:tc>
      </w:tr>
      <w:tr>
        <w:tc>
          <w:tcPr>
            <w:tcW w:type="dxa" w:w="1378"/>
          </w:tcPr>
          <w:p>
            <w:r>
              <w:t>Garman-Klass</w:t>
            </w:r>
          </w:p>
        </w:tc>
        <w:tc>
          <w:tcPr>
            <w:tcW w:type="dxa" w:w="1378"/>
          </w:tcPr>
          <w:p>
            <w:r>
              <w:t>Within-session</w:t>
            </w:r>
          </w:p>
        </w:tc>
        <w:tc>
          <w:tcPr>
            <w:tcW w:type="dxa" w:w="1378"/>
          </w:tcPr>
          <w:p>
            <w:r>
              <w:t>Open-to-close 2nd moment</w:t>
            </w:r>
          </w:p>
        </w:tc>
        <w:tc>
          <w:tcPr>
            <w:tcW w:type="dxa" w:w="1378"/>
          </w:tcPr>
          <w:p>
            <w:r>
              <w:t>143,718</w:t>
            </w:r>
          </w:p>
        </w:tc>
        <w:tc>
          <w:tcPr>
            <w:tcW w:type="dxa" w:w="1378"/>
          </w:tcPr>
          <w:p>
            <w:r>
              <w:t>1.001</w:t>
            </w:r>
          </w:p>
        </w:tc>
        <w:tc>
          <w:tcPr>
            <w:tcW w:type="dxa" w:w="1378"/>
          </w:tcPr>
          <w:p>
            <w:r>
              <w:t>[0.981, 1.022]</w:t>
            </w:r>
          </w:p>
        </w:tc>
        <w:tc>
          <w:tcPr>
            <w:tcW w:type="dxa" w:w="1378"/>
          </w:tcPr>
          <w:p>
            <w:r>
              <w:t>[0.967, 1.033]</w:t>
            </w:r>
          </w:p>
        </w:tc>
        <w:tc>
          <w:tcPr>
            <w:tcW w:type="dxa" w:w="1728"/>
          </w:tcPr>
          <w:p>
            <w:r>
              <w:t>equivalent</w:t>
            </w:r>
          </w:p>
        </w:tc>
        <w:tc>
          <w:tcPr>
            <w:tcW w:type="dxa" w:w="1728"/>
          </w:tcPr>
          <w:p>
            <w:r/>
          </w:p>
        </w:tc>
      </w:tr>
      <w:tr>
        <w:tc>
          <w:tcPr>
            <w:tcW w:type="dxa" w:w="1378"/>
          </w:tcPr>
          <w:p>
            <w:r>
              <w:t>Rogers-Satchell</w:t>
            </w:r>
          </w:p>
        </w:tc>
        <w:tc>
          <w:tcPr>
            <w:tcW w:type="dxa" w:w="1378"/>
          </w:tcPr>
          <w:p>
            <w:r>
              <w:t>Within-session</w:t>
            </w:r>
          </w:p>
        </w:tc>
        <w:tc>
          <w:tcPr>
            <w:tcW w:type="dxa" w:w="1378"/>
          </w:tcPr>
          <w:p>
            <w:r>
              <w:t>Open-to-close 2nd moment</w:t>
            </w:r>
          </w:p>
        </w:tc>
        <w:tc>
          <w:tcPr>
            <w:tcW w:type="dxa" w:w="1378"/>
          </w:tcPr>
          <w:p>
            <w:r>
              <w:t>143,718</w:t>
            </w:r>
          </w:p>
        </w:tc>
        <w:tc>
          <w:tcPr>
            <w:tcW w:type="dxa" w:w="1378"/>
          </w:tcPr>
          <w:p>
            <w:r>
              <w:t>1.037</w:t>
            </w:r>
          </w:p>
        </w:tc>
        <w:tc>
          <w:tcPr>
            <w:tcW w:type="dxa" w:w="1378"/>
          </w:tcPr>
          <w:p>
            <w:r>
              <w:t>[1.013, 1.062]</w:t>
            </w:r>
          </w:p>
        </w:tc>
        <w:tc>
          <w:tcPr>
            <w:tcW w:type="dxa" w:w="1378"/>
          </w:tcPr>
          <w:p>
            <w:r>
              <w:t>[1.0000, 1.074]</w:t>
            </w:r>
          </w:p>
        </w:tc>
        <w:tc>
          <w:tcPr>
            <w:tcW w:type="dxa" w:w="1728"/>
          </w:tcPr>
          <w:p>
            <w:r>
              <w:t>inconclusive</w:t>
            </w:r>
          </w:p>
        </w:tc>
        <w:tc>
          <w:tcPr>
            <w:tcW w:type="dxa" w:w="1728"/>
          </w:tcPr>
          <w:p>
            <w:r/>
          </w:p>
        </w:tc>
      </w:tr>
      <w:tr>
        <w:tc>
          <w:tcPr>
            <w:tcW w:type="dxa" w:w="1378"/>
          </w:tcPr>
          <w:p>
            <w:r>
              <w:t>AddRS</w:t>
            </w:r>
          </w:p>
        </w:tc>
        <w:tc>
          <w:tcPr>
            <w:tcW w:type="dxa" w:w="1378"/>
          </w:tcPr>
          <w:p>
            <w:r>
              <w:t>Within-session</w:t>
            </w:r>
          </w:p>
        </w:tc>
        <w:tc>
          <w:tcPr>
            <w:tcW w:type="dxa" w:w="1378"/>
          </w:tcPr>
          <w:p>
            <w:r>
              <w:t>Open-to-close 2nd moment</w:t>
            </w:r>
          </w:p>
        </w:tc>
        <w:tc>
          <w:tcPr>
            <w:tcW w:type="dxa" w:w="1378"/>
          </w:tcPr>
          <w:p>
            <w:r>
              <w:t>143,718</w:t>
            </w:r>
          </w:p>
        </w:tc>
        <w:tc>
          <w:tcPr>
            <w:tcW w:type="dxa" w:w="1378"/>
          </w:tcPr>
          <w:p>
            <w:r>
              <w:t>1.225</w:t>
            </w:r>
          </w:p>
        </w:tc>
        <w:tc>
          <w:tcPr>
            <w:tcW w:type="dxa" w:w="1378"/>
          </w:tcPr>
          <w:p>
            <w:r>
              <w:t>[1.207, 1.245]</w:t>
            </w:r>
          </w:p>
        </w:tc>
        <w:tc>
          <w:tcPr>
            <w:tcW w:type="dxa" w:w="1378"/>
          </w:tcPr>
          <w:p>
            <w:r>
              <w:t>[1.204, 1.248]</w:t>
            </w:r>
          </w:p>
        </w:tc>
        <w:tc>
          <w:tcPr>
            <w:tcW w:type="dxa" w:w="1728"/>
          </w:tcPr>
          <w:p>
            <w:r>
              <w:t>different</w:t>
            </w:r>
          </w:p>
        </w:tc>
        <w:tc>
          <w:tcPr>
            <w:tcW w:type="dxa" w:w="1728"/>
          </w:tcPr>
          <w:p>
            <w:r/>
          </w:p>
        </w:tc>
      </w:tr>
      <w:tr>
        <w:tc>
          <w:tcPr>
            <w:tcW w:type="dxa" w:w="1378"/>
          </w:tcPr>
          <w:p>
            <w:r>
              <w:t>Close-to-close</w:t>
            </w:r>
          </w:p>
        </w:tc>
        <w:tc>
          <w:tcPr>
            <w:tcW w:type="dxa" w:w="1378"/>
          </w:tcPr>
          <w:p>
            <w:r>
              <w:t>Total risk</w:t>
            </w:r>
          </w:p>
        </w:tc>
        <w:tc>
          <w:tcPr>
            <w:tcW w:type="dxa" w:w="1378"/>
          </w:tcPr>
          <w:p>
            <w:r>
              <w:t>Close-to-close 2nd moment</w:t>
            </w:r>
          </w:p>
        </w:tc>
        <w:tc>
          <w:tcPr>
            <w:tcW w:type="dxa" w:w="1378"/>
          </w:tcPr>
          <w:p>
            <w:r>
              <w:t>143,196</w:t>
            </w:r>
          </w:p>
        </w:tc>
        <w:tc>
          <w:tcPr>
            <w:tcW w:type="dxa" w:w="1378"/>
          </w:tcPr>
          <w:p>
            <w:r>
              <w:t>1.000</w:t>
            </w:r>
          </w:p>
        </w:tc>
        <w:tc>
          <w:tcPr>
            <w:tcW w:type="dxa" w:w="1378"/>
          </w:tcPr>
          <w:p>
            <w:r>
              <w:t>[1.000, 1.000]</w:t>
            </w:r>
          </w:p>
        </w:tc>
        <w:tc>
          <w:tcPr>
            <w:tcW w:type="dxa" w:w="1378"/>
          </w:tcPr>
          <w:p>
            <w:r>
              <w:t>[1.000, 1.000]</w:t>
            </w:r>
          </w:p>
        </w:tc>
        <w:tc>
          <w:tcPr>
            <w:tcW w:type="dxa" w:w="1728"/>
          </w:tcPr>
          <w:p>
            <w:r>
              <w:t>equivalent</w:t>
            </w:r>
          </w:p>
        </w:tc>
        <w:tc>
          <w:tcPr>
            <w:tcW w:type="dxa" w:w="1728"/>
          </w:tcPr>
          <w:p>
            <w:r>
              <w:t>definitional anchor: this estimator IS the benchmark, so the ratio is 1 by construction and carries no information</w:t>
            </w:r>
          </w:p>
        </w:tc>
      </w:tr>
      <w:tr>
        <w:tc>
          <w:tcPr>
            <w:tcW w:type="dxa" w:w="1378"/>
          </w:tcPr>
          <w:p>
            <w:r>
              <w:t>Yang-Zhang</w:t>
            </w:r>
          </w:p>
        </w:tc>
        <w:tc>
          <w:tcPr>
            <w:tcW w:type="dxa" w:w="1378"/>
          </w:tcPr>
          <w:p>
            <w:r>
              <w:t>Total risk</w:t>
            </w:r>
          </w:p>
        </w:tc>
        <w:tc>
          <w:tcPr>
            <w:tcW w:type="dxa" w:w="1378"/>
          </w:tcPr>
          <w:p>
            <w:r>
              <w:t>Close-to-close 2nd moment</w:t>
            </w:r>
          </w:p>
        </w:tc>
        <w:tc>
          <w:tcPr>
            <w:tcW w:type="dxa" w:w="1378"/>
          </w:tcPr>
          <w:p>
            <w:r>
              <w:t>135,899</w:t>
            </w:r>
          </w:p>
        </w:tc>
        <w:tc>
          <w:tcPr>
            <w:tcW w:type="dxa" w:w="1378"/>
          </w:tcPr>
          <w:p>
            <w:r>
              <w:t>1.280</w:t>
            </w:r>
          </w:p>
        </w:tc>
        <w:tc>
          <w:tcPr>
            <w:tcW w:type="dxa" w:w="1378"/>
          </w:tcPr>
          <w:p>
            <w:r>
              <w:t>[1.258, 1.303]</w:t>
            </w:r>
          </w:p>
        </w:tc>
        <w:tc>
          <w:tcPr>
            <w:tcW w:type="dxa" w:w="1378"/>
          </w:tcPr>
          <w:p>
            <w:r>
              <w:t>[1.223, 1.355]</w:t>
            </w:r>
          </w:p>
        </w:tc>
        <w:tc>
          <w:tcPr>
            <w:tcW w:type="dxa" w:w="1728"/>
          </w:tcPr>
          <w:p>
            <w:r>
              <w:t>different</w:t>
            </w:r>
          </w:p>
        </w:tc>
        <w:tc>
          <w:tcPr>
            <w:tcW w:type="dxa" w:w="1728"/>
          </w:tcPr>
          <w:p>
            <w:r/>
          </w:p>
        </w:tc>
      </w:tr>
    </w:tbl>
    <w:p>
      <w:pPr/>
      <w:r>
        <w:t>Table 8. OHLC envelope-repair sensitivity. SD ratios to the scope-matched proxy, repaired rows corrected versus excluded.</w:t>
      </w:r>
    </w:p>
    <w:tbl>
      <w:tblPr>
        <w:tblStyle w:val="TableGrid"/>
        <w:tblW w:type="auto" w:w="0"/>
        <w:tblLook w:firstColumn="1" w:firstRow="1" w:lastColumn="0" w:lastRow="0" w:noHBand="0" w:noVBand="1" w:val="04A0"/>
      </w:tblPr>
      <w:tblGrid>
        <w:gridCol w:w="2412"/>
        <w:gridCol w:w="2412"/>
        <w:gridCol w:w="2412"/>
        <w:gridCol w:w="2412"/>
      </w:tblGrid>
      <w:tr>
        <w:trPr>
          <w:tblHeader/>
        </w:trPr>
        <w:tc>
          <w:tcPr>
            <w:tcW w:type="dxa" w:w="2412"/>
          </w:tcPr>
          <w:p>
            <w:r>
              <w:t>Estimator</w:t>
            </w:r>
          </w:p>
        </w:tc>
        <w:tc>
          <w:tcPr>
            <w:tcW w:type="dxa" w:w="2412"/>
          </w:tcPr>
          <w:p>
            <w:r>
              <w:t>As published (repaired rows corrected)</w:t>
            </w:r>
          </w:p>
        </w:tc>
        <w:tc>
          <w:tcPr>
            <w:tcW w:type="dxa" w:w="2412"/>
          </w:tcPr>
          <w:p>
            <w:r>
              <w:t>Repaired rows excluded</w:t>
            </w:r>
          </w:p>
        </w:tc>
        <w:tc>
          <w:tcPr>
            <w:tcW w:type="dxa" w:w="2412"/>
          </w:tcPr>
          <w:p>
            <w:r>
              <w:t>Absolute change</w:t>
            </w:r>
          </w:p>
        </w:tc>
      </w:tr>
      <w:tr>
        <w:tc>
          <w:tcPr>
            <w:tcW w:type="dxa" w:w="2412"/>
          </w:tcPr>
          <w:p>
            <w:r>
              <w:t>Parkinson</w:t>
            </w:r>
          </w:p>
        </w:tc>
        <w:tc>
          <w:tcPr>
            <w:tcW w:type="dxa" w:w="2412"/>
          </w:tcPr>
          <w:p>
            <w:r>
              <w:t>1.0005</w:t>
            </w:r>
          </w:p>
        </w:tc>
        <w:tc>
          <w:tcPr>
            <w:tcW w:type="dxa" w:w="2412"/>
          </w:tcPr>
          <w:p>
            <w:r>
              <w:t>1.0005</w:t>
            </w:r>
          </w:p>
        </w:tc>
        <w:tc>
          <w:tcPr>
            <w:tcW w:type="dxa" w:w="2412"/>
          </w:tcPr>
          <w:p>
            <w:r>
              <w:t>0.0</w:t>
            </w:r>
          </w:p>
        </w:tc>
      </w:tr>
      <w:tr>
        <w:tc>
          <w:tcPr>
            <w:tcW w:type="dxa" w:w="2412"/>
          </w:tcPr>
          <w:p>
            <w:r>
              <w:t>Garman-Klass</w:t>
            </w:r>
          </w:p>
        </w:tc>
        <w:tc>
          <w:tcPr>
            <w:tcW w:type="dxa" w:w="2412"/>
          </w:tcPr>
          <w:p>
            <w:r>
              <w:t>1.0007</w:t>
            </w:r>
          </w:p>
        </w:tc>
        <w:tc>
          <w:tcPr>
            <w:tcW w:type="dxa" w:w="2412"/>
          </w:tcPr>
          <w:p>
            <w:r>
              <w:t>1.0007</w:t>
            </w:r>
          </w:p>
        </w:tc>
        <w:tc>
          <w:tcPr>
            <w:tcW w:type="dxa" w:w="2412"/>
          </w:tcPr>
          <w:p>
            <w:r>
              <w:t>0.0</w:t>
            </w:r>
          </w:p>
        </w:tc>
      </w:tr>
      <w:tr>
        <w:tc>
          <w:tcPr>
            <w:tcW w:type="dxa" w:w="2412"/>
          </w:tcPr>
          <w:p>
            <w:r>
              <w:t>Rogers-Satchell</w:t>
            </w:r>
          </w:p>
        </w:tc>
        <w:tc>
          <w:tcPr>
            <w:tcW w:type="dxa" w:w="2412"/>
          </w:tcPr>
          <w:p>
            <w:r>
              <w:t>1.0367</w:t>
            </w:r>
          </w:p>
        </w:tc>
        <w:tc>
          <w:tcPr>
            <w:tcW w:type="dxa" w:w="2412"/>
          </w:tcPr>
          <w:p>
            <w:r>
              <w:t>1.0367</w:t>
            </w:r>
          </w:p>
        </w:tc>
        <w:tc>
          <w:tcPr>
            <w:tcW w:type="dxa" w:w="2412"/>
          </w:tcPr>
          <w:p>
            <w:r>
              <w:t>0.0</w:t>
            </w:r>
          </w:p>
        </w:tc>
      </w:tr>
      <w:tr>
        <w:tc>
          <w:tcPr>
            <w:tcW w:type="dxa" w:w="2412"/>
          </w:tcPr>
          <w:p>
            <w:r>
              <w:t>AddRS</w:t>
            </w:r>
          </w:p>
        </w:tc>
        <w:tc>
          <w:tcPr>
            <w:tcW w:type="dxa" w:w="2412"/>
          </w:tcPr>
          <w:p>
            <w:r>
              <w:t>1.2254</w:t>
            </w:r>
          </w:p>
        </w:tc>
        <w:tc>
          <w:tcPr>
            <w:tcW w:type="dxa" w:w="2412"/>
          </w:tcPr>
          <w:p>
            <w:r>
              <w:t>1.2254</w:t>
            </w:r>
          </w:p>
        </w:tc>
        <w:tc>
          <w:tcPr>
            <w:tcW w:type="dxa" w:w="2412"/>
          </w:tcPr>
          <w:p>
            <w:r>
              <w:t>0.0</w:t>
            </w:r>
          </w:p>
        </w:tc>
      </w:tr>
      <w:tr>
        <w:tc>
          <w:tcPr>
            <w:tcW w:type="dxa" w:w="2412"/>
          </w:tcPr>
          <w:p>
            <w:r>
              <w:t>Close-to-close</w:t>
            </w:r>
          </w:p>
        </w:tc>
        <w:tc>
          <w:tcPr>
            <w:tcW w:type="dxa" w:w="2412"/>
          </w:tcPr>
          <w:p>
            <w:r>
              <w:t>1.0</w:t>
            </w:r>
          </w:p>
        </w:tc>
        <w:tc>
          <w:tcPr>
            <w:tcW w:type="dxa" w:w="2412"/>
          </w:tcPr>
          <w:p>
            <w:r>
              <w:t>1.0</w:t>
            </w:r>
          </w:p>
        </w:tc>
        <w:tc>
          <w:tcPr>
            <w:tcW w:type="dxa" w:w="2412"/>
          </w:tcPr>
          <w:p>
            <w:r>
              <w:t>0.0</w:t>
            </w:r>
          </w:p>
        </w:tc>
      </w:tr>
      <w:tr>
        <w:tc>
          <w:tcPr>
            <w:tcW w:type="dxa" w:w="2412"/>
          </w:tcPr>
          <w:p>
            <w:r>
              <w:t>Yang-Zhang</w:t>
            </w:r>
          </w:p>
        </w:tc>
        <w:tc>
          <w:tcPr>
            <w:tcW w:type="dxa" w:w="2412"/>
          </w:tcPr>
          <w:p>
            <w:r>
              <w:t>1.2881</w:t>
            </w:r>
          </w:p>
        </w:tc>
        <w:tc>
          <w:tcPr>
            <w:tcW w:type="dxa" w:w="2412"/>
          </w:tcPr>
          <w:p>
            <w:r>
              <w:t>1.2879</w:t>
            </w:r>
          </w:p>
        </w:tc>
        <w:tc>
          <w:tcPr>
            <w:tcW w:type="dxa" w:w="2412"/>
          </w:tcPr>
          <w:p>
            <w:r>
              <w:t>0.0001</w:t>
            </w:r>
          </w:p>
        </w:tc>
      </w:tr>
    </w:tbl>
    <w:p>
      <w:pPr/>
      <w:r>
        <w:t>Table 9. Instrument classification: rule-based classifier against the external NEPSE security master, one row per security.</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trPr>
        <w:tc>
          <w:tcPr>
            <w:tcW w:type="dxa" w:w="1608"/>
          </w:tcPr>
          <w:p>
            <w:r>
              <w:t>Rule-based classification</w:t>
            </w:r>
          </w:p>
        </w:tc>
        <w:tc>
          <w:tcPr>
            <w:tcW w:type="dxa" w:w="1608"/>
          </w:tcPr>
          <w:p>
            <w:r>
              <w:t>Master: (not in master)</w:t>
            </w:r>
          </w:p>
        </w:tc>
        <w:tc>
          <w:tcPr>
            <w:tcW w:type="dxa" w:w="1608"/>
          </w:tcPr>
          <w:p>
            <w:r>
              <w:t>Master: debenture</w:t>
            </w:r>
          </w:p>
        </w:tc>
        <w:tc>
          <w:tcPr>
            <w:tcW w:type="dxa" w:w="1608"/>
          </w:tcPr>
          <w:p>
            <w:r>
              <w:t>Master: equity</w:t>
            </w:r>
          </w:p>
        </w:tc>
        <w:tc>
          <w:tcPr>
            <w:tcW w:type="dxa" w:w="1608"/>
          </w:tcPr>
          <w:p>
            <w:r>
              <w:t>Master: fund</w:t>
            </w:r>
          </w:p>
        </w:tc>
        <w:tc>
          <w:tcPr>
            <w:tcW w:type="dxa" w:w="1608"/>
          </w:tcPr>
          <w:p>
            <w:r>
              <w:t>Master: promoter</w:t>
            </w:r>
          </w:p>
        </w:tc>
      </w:tr>
      <w:tr>
        <w:tc>
          <w:tcPr>
            <w:tcW w:type="dxa" w:w="1608"/>
          </w:tcPr>
          <w:p>
            <w:r>
              <w:t>debenture</w:t>
            </w:r>
          </w:p>
        </w:tc>
        <w:tc>
          <w:tcPr>
            <w:tcW w:type="dxa" w:w="1608"/>
          </w:tcPr>
          <w:p>
            <w:r>
              <w:t>0</w:t>
            </w:r>
          </w:p>
        </w:tc>
        <w:tc>
          <w:tcPr>
            <w:tcW w:type="dxa" w:w="1608"/>
          </w:tcPr>
          <w:p>
            <w:r>
              <w:t>84</w:t>
            </w:r>
          </w:p>
        </w:tc>
        <w:tc>
          <w:tcPr>
            <w:tcW w:type="dxa" w:w="1608"/>
          </w:tcPr>
          <w:p>
            <w:r>
              <w:t>0</w:t>
            </w:r>
          </w:p>
        </w:tc>
        <w:tc>
          <w:tcPr>
            <w:tcW w:type="dxa" w:w="1608"/>
          </w:tcPr>
          <w:p>
            <w:r>
              <w:t>0</w:t>
            </w:r>
          </w:p>
        </w:tc>
        <w:tc>
          <w:tcPr>
            <w:tcW w:type="dxa" w:w="1608"/>
          </w:tcPr>
          <w:p>
            <w:r>
              <w:t>0</w:t>
            </w:r>
          </w:p>
        </w:tc>
      </w:tr>
      <w:tr>
        <w:tc>
          <w:tcPr>
            <w:tcW w:type="dxa" w:w="1608"/>
          </w:tcPr>
          <w:p>
            <w:r>
              <w:t>equity</w:t>
            </w:r>
          </w:p>
        </w:tc>
        <w:tc>
          <w:tcPr>
            <w:tcW w:type="dxa" w:w="1608"/>
          </w:tcPr>
          <w:p>
            <w:r>
              <w:t>10</w:t>
            </w:r>
          </w:p>
        </w:tc>
        <w:tc>
          <w:tcPr>
            <w:tcW w:type="dxa" w:w="1608"/>
          </w:tcPr>
          <w:p>
            <w:r>
              <w:t>1</w:t>
            </w:r>
          </w:p>
        </w:tc>
        <w:tc>
          <w:tcPr>
            <w:tcW w:type="dxa" w:w="1608"/>
          </w:tcPr>
          <w:p>
            <w:r>
              <w:t>281</w:t>
            </w:r>
          </w:p>
        </w:tc>
        <w:tc>
          <w:tcPr>
            <w:tcW w:type="dxa" w:w="1608"/>
          </w:tcPr>
          <w:p>
            <w:r>
              <w:t>0</w:t>
            </w:r>
          </w:p>
        </w:tc>
        <w:tc>
          <w:tcPr>
            <w:tcW w:type="dxa" w:w="1608"/>
          </w:tcPr>
          <w:p>
            <w:r>
              <w:t>0</w:t>
            </w:r>
          </w:p>
        </w:tc>
      </w:tr>
      <w:tr>
        <w:tc>
          <w:tcPr>
            <w:tcW w:type="dxa" w:w="1608"/>
          </w:tcPr>
          <w:p>
            <w:r>
              <w:t>fund</w:t>
            </w:r>
          </w:p>
        </w:tc>
        <w:tc>
          <w:tcPr>
            <w:tcW w:type="dxa" w:w="1608"/>
          </w:tcPr>
          <w:p>
            <w:r>
              <w:t>0</w:t>
            </w:r>
          </w:p>
        </w:tc>
        <w:tc>
          <w:tcPr>
            <w:tcW w:type="dxa" w:w="1608"/>
          </w:tcPr>
          <w:p>
            <w:r>
              <w:t>0</w:t>
            </w:r>
          </w:p>
        </w:tc>
        <w:tc>
          <w:tcPr>
            <w:tcW w:type="dxa" w:w="1608"/>
          </w:tcPr>
          <w:p>
            <w:r>
              <w:t>0</w:t>
            </w:r>
          </w:p>
        </w:tc>
        <w:tc>
          <w:tcPr>
            <w:tcW w:type="dxa" w:w="1608"/>
          </w:tcPr>
          <w:p>
            <w:r>
              <w:t>51</w:t>
            </w:r>
          </w:p>
        </w:tc>
        <w:tc>
          <w:tcPr>
            <w:tcW w:type="dxa" w:w="1608"/>
          </w:tcPr>
          <w:p>
            <w:r>
              <w:t>0</w:t>
            </w:r>
          </w:p>
        </w:tc>
      </w:tr>
      <w:tr>
        <w:tc>
          <w:tcPr>
            <w:tcW w:type="dxa" w:w="1608"/>
          </w:tcPr>
          <w:p>
            <w:r>
              <w:t>promoter</w:t>
            </w:r>
          </w:p>
        </w:tc>
        <w:tc>
          <w:tcPr>
            <w:tcW w:type="dxa" w:w="1608"/>
          </w:tcPr>
          <w:p>
            <w:r>
              <w:t>0</w:t>
            </w:r>
          </w:p>
        </w:tc>
        <w:tc>
          <w:tcPr>
            <w:tcW w:type="dxa" w:w="1608"/>
          </w:tcPr>
          <w:p>
            <w:r>
              <w:t>0</w:t>
            </w:r>
          </w:p>
        </w:tc>
        <w:tc>
          <w:tcPr>
            <w:tcW w:type="dxa" w:w="1608"/>
          </w:tcPr>
          <w:p>
            <w:r>
              <w:t>1</w:t>
            </w:r>
          </w:p>
        </w:tc>
        <w:tc>
          <w:tcPr>
            <w:tcW w:type="dxa" w:w="1608"/>
          </w:tcPr>
          <w:p>
            <w:r>
              <w:t>0</w:t>
            </w:r>
          </w:p>
        </w:tc>
        <w:tc>
          <w:tcPr>
            <w:tcW w:type="dxa" w:w="1608"/>
          </w:tcPr>
          <w:p>
            <w:r>
              <w:t>93</w:t>
            </w:r>
          </w:p>
        </w:tc>
      </w:tr>
    </w:tbl>
    <w:p/>
    <w:p>
      <w:pPr/>
      <w:r>
        <w:t>Table 10. Panel balance and participation by security-level liquidity quintile.</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rPr>
          <w:tblHeader/>
        </w:trPr>
        <w:tc>
          <w:tcPr>
            <w:tcW w:type="dxa" w:w="1072"/>
          </w:tcPr>
          <w:p>
            <w:r>
              <w:t>Liquidity quintile (security-level)</w:t>
            </w:r>
          </w:p>
        </w:tc>
        <w:tc>
          <w:tcPr>
            <w:tcW w:type="dxa" w:w="1072"/>
          </w:tcPr>
          <w:p>
            <w:r>
              <w:t>Securities</w:t>
            </w:r>
          </w:p>
        </w:tc>
        <w:tc>
          <w:tcPr>
            <w:tcW w:type="dxa" w:w="1072"/>
          </w:tcPr>
          <w:p>
            <w:r>
              <w:t>Stock-days</w:t>
            </w:r>
          </w:p>
        </w:tc>
        <w:tc>
          <w:tcPr>
            <w:tcW w:type="dxa" w:w="1072"/>
          </w:tcPr>
          <w:p>
            <w:r>
              <w:t>Median trades/day</w:t>
            </w:r>
          </w:p>
        </w:tc>
        <w:tc>
          <w:tcPr>
            <w:tcW w:type="dxa" w:w="1072"/>
          </w:tcPr>
          <w:p>
            <w:r>
              <w:t>Min participation</w:t>
            </w:r>
          </w:p>
        </w:tc>
        <w:tc>
          <w:tcPr>
            <w:tcW w:type="dxa" w:w="1072"/>
          </w:tcPr>
          <w:p>
            <w:r>
              <w:t>Median participation</w:t>
            </w:r>
          </w:p>
        </w:tc>
        <w:tc>
          <w:tcPr>
            <w:tcW w:type="dxa" w:w="1072"/>
          </w:tcPr>
          <w:p>
            <w:r>
              <w:t>Parkinson: stock-day weighted</w:t>
            </w:r>
          </w:p>
        </w:tc>
        <w:tc>
          <w:tcPr>
            <w:tcW w:type="dxa" w:w="1072"/>
          </w:tcPr>
          <w:p>
            <w:r>
              <w:t>Parkinson: equal-security median</w:t>
            </w:r>
          </w:p>
        </w:tc>
        <w:tc>
          <w:tcPr>
            <w:tcW w:type="dxa" w:w="1072"/>
          </w:tcPr>
          <w:p>
            <w:r>
              <w:t>Security-level 5th-95th percentile</w:t>
            </w:r>
          </w:p>
        </w:tc>
      </w:tr>
      <w:tr>
        <w:tc>
          <w:tcPr>
            <w:tcW w:type="dxa" w:w="1072"/>
          </w:tcPr>
          <w:p>
            <w:r>
              <w:t>Q1</w:t>
            </w:r>
          </w:p>
        </w:tc>
        <w:tc>
          <w:tcPr>
            <w:tcW w:type="dxa" w:w="1072"/>
          </w:tcPr>
          <w:p>
            <w:r>
              <w:t>59</w:t>
            </w:r>
          </w:p>
        </w:tc>
        <w:tc>
          <w:tcPr>
            <w:tcW w:type="dxa" w:w="1072"/>
          </w:tcPr>
          <w:p>
            <w:r>
              <w:t>28770</w:t>
            </w:r>
          </w:p>
        </w:tc>
        <w:tc>
          <w:tcPr>
            <w:tcW w:type="dxa" w:w="1072"/>
          </w:tcPr>
          <w:p>
            <w:r>
              <w:t>49</w:t>
            </w:r>
          </w:p>
        </w:tc>
        <w:tc>
          <w:tcPr>
            <w:tcW w:type="dxa" w:w="1072"/>
          </w:tcPr>
          <w:p>
            <w:r>
              <w:t>0.053</w:t>
            </w:r>
          </w:p>
        </w:tc>
        <w:tc>
          <w:tcPr>
            <w:tcW w:type="dxa" w:w="1072"/>
          </w:tcPr>
          <w:p>
            <w:r>
              <w:t>1.0</w:t>
            </w:r>
          </w:p>
        </w:tc>
        <w:tc>
          <w:tcPr>
            <w:tcW w:type="dxa" w:w="1072"/>
          </w:tcPr>
          <w:p>
            <w:r>
              <w:t>1.022</w:t>
            </w:r>
          </w:p>
        </w:tc>
        <w:tc>
          <w:tcPr>
            <w:tcW w:type="dxa" w:w="1072"/>
          </w:tcPr>
          <w:p>
            <w:r>
              <w:t>1.02</w:t>
            </w:r>
          </w:p>
        </w:tc>
        <w:tc>
          <w:tcPr>
            <w:tcW w:type="dxa" w:w="1072"/>
          </w:tcPr>
          <w:p>
            <w:r>
              <w:t>[0.717, 1.135]</w:t>
            </w:r>
          </w:p>
        </w:tc>
      </w:tr>
      <w:tr>
        <w:tc>
          <w:tcPr>
            <w:tcW w:type="dxa" w:w="1072"/>
          </w:tcPr>
          <w:p>
            <w:r>
              <w:t>Q2</w:t>
            </w:r>
          </w:p>
        </w:tc>
        <w:tc>
          <w:tcPr>
            <w:tcW w:type="dxa" w:w="1072"/>
          </w:tcPr>
          <w:p>
            <w:r>
              <w:t>58</w:t>
            </w:r>
          </w:p>
        </w:tc>
        <w:tc>
          <w:tcPr>
            <w:tcW w:type="dxa" w:w="1072"/>
          </w:tcPr>
          <w:p>
            <w:r>
              <w:t>31143</w:t>
            </w:r>
          </w:p>
        </w:tc>
        <w:tc>
          <w:tcPr>
            <w:tcW w:type="dxa" w:w="1072"/>
          </w:tcPr>
          <w:p>
            <w:r>
              <w:t>103</w:t>
            </w:r>
          </w:p>
        </w:tc>
        <w:tc>
          <w:tcPr>
            <w:tcW w:type="dxa" w:w="1072"/>
          </w:tcPr>
          <w:p>
            <w:r>
              <w:t>0.928</w:t>
            </w:r>
          </w:p>
        </w:tc>
        <w:tc>
          <w:tcPr>
            <w:tcW w:type="dxa" w:w="1072"/>
          </w:tcPr>
          <w:p>
            <w:r>
              <w:t>1.0</w:t>
            </w:r>
          </w:p>
        </w:tc>
        <w:tc>
          <w:tcPr>
            <w:tcW w:type="dxa" w:w="1072"/>
          </w:tcPr>
          <w:p>
            <w:r>
              <w:t>1.037</w:t>
            </w:r>
          </w:p>
        </w:tc>
        <w:tc>
          <w:tcPr>
            <w:tcW w:type="dxa" w:w="1072"/>
          </w:tcPr>
          <w:p>
            <w:r>
              <w:t>1.036</w:t>
            </w:r>
          </w:p>
        </w:tc>
        <w:tc>
          <w:tcPr>
            <w:tcW w:type="dxa" w:w="1072"/>
          </w:tcPr>
          <w:p>
            <w:r>
              <w:t>[0.965, 1.098]</w:t>
            </w:r>
          </w:p>
        </w:tc>
      </w:tr>
      <w:tr>
        <w:tc>
          <w:tcPr>
            <w:tcW w:type="dxa" w:w="1072"/>
          </w:tcPr>
          <w:p>
            <w:r>
              <w:t>Q3</w:t>
            </w:r>
          </w:p>
        </w:tc>
        <w:tc>
          <w:tcPr>
            <w:tcW w:type="dxa" w:w="1072"/>
          </w:tcPr>
          <w:p>
            <w:r>
              <w:t>58</w:t>
            </w:r>
          </w:p>
        </w:tc>
        <w:tc>
          <w:tcPr>
            <w:tcW w:type="dxa" w:w="1072"/>
          </w:tcPr>
          <w:p>
            <w:r>
              <w:t>32442</w:t>
            </w:r>
          </w:p>
        </w:tc>
        <w:tc>
          <w:tcPr>
            <w:tcW w:type="dxa" w:w="1072"/>
          </w:tcPr>
          <w:p>
            <w:r>
              <w:t>168</w:t>
            </w:r>
          </w:p>
        </w:tc>
        <w:tc>
          <w:tcPr>
            <w:tcW w:type="dxa" w:w="1072"/>
          </w:tcPr>
          <w:p>
            <w:r>
              <w:t>0.996</w:t>
            </w:r>
          </w:p>
        </w:tc>
        <w:tc>
          <w:tcPr>
            <w:tcW w:type="dxa" w:w="1072"/>
          </w:tcPr>
          <w:p>
            <w:r>
              <w:t>1.0</w:t>
            </w:r>
          </w:p>
        </w:tc>
        <w:tc>
          <w:tcPr>
            <w:tcW w:type="dxa" w:w="1072"/>
          </w:tcPr>
          <w:p>
            <w:r>
              <w:t>1.011</w:t>
            </w:r>
          </w:p>
        </w:tc>
        <w:tc>
          <w:tcPr>
            <w:tcW w:type="dxa" w:w="1072"/>
          </w:tcPr>
          <w:p>
            <w:r>
              <w:t>1.005</w:t>
            </w:r>
          </w:p>
        </w:tc>
        <w:tc>
          <w:tcPr>
            <w:tcW w:type="dxa" w:w="1072"/>
          </w:tcPr>
          <w:p>
            <w:r>
              <w:t>[0.957, 1.103]</w:t>
            </w:r>
          </w:p>
        </w:tc>
      </w:tr>
      <w:tr>
        <w:tc>
          <w:tcPr>
            <w:tcW w:type="dxa" w:w="1072"/>
          </w:tcPr>
          <w:p>
            <w:r>
              <w:t>Q4</w:t>
            </w:r>
          </w:p>
        </w:tc>
        <w:tc>
          <w:tcPr>
            <w:tcW w:type="dxa" w:w="1072"/>
          </w:tcPr>
          <w:p>
            <w:r>
              <w:t>59</w:t>
            </w:r>
          </w:p>
        </w:tc>
        <w:tc>
          <w:tcPr>
            <w:tcW w:type="dxa" w:w="1072"/>
          </w:tcPr>
          <w:p>
            <w:r>
              <w:t>27701</w:t>
            </w:r>
          </w:p>
        </w:tc>
        <w:tc>
          <w:tcPr>
            <w:tcW w:type="dxa" w:w="1072"/>
          </w:tcPr>
          <w:p>
            <w:r>
              <w:t>250</w:t>
            </w:r>
          </w:p>
        </w:tc>
        <w:tc>
          <w:tcPr>
            <w:tcW w:type="dxa" w:w="1072"/>
          </w:tcPr>
          <w:p>
            <w:r>
              <w:t>0.995</w:t>
            </w:r>
          </w:p>
        </w:tc>
        <w:tc>
          <w:tcPr>
            <w:tcW w:type="dxa" w:w="1072"/>
          </w:tcPr>
          <w:p>
            <w:r>
              <w:t>1.0</w:t>
            </w:r>
          </w:p>
        </w:tc>
        <w:tc>
          <w:tcPr>
            <w:tcW w:type="dxa" w:w="1072"/>
          </w:tcPr>
          <w:p>
            <w:r>
              <w:t>0.984</w:t>
            </w:r>
          </w:p>
        </w:tc>
        <w:tc>
          <w:tcPr>
            <w:tcW w:type="dxa" w:w="1072"/>
          </w:tcPr>
          <w:p>
            <w:r>
              <w:t>0.99</w:t>
            </w:r>
          </w:p>
        </w:tc>
        <w:tc>
          <w:tcPr>
            <w:tcW w:type="dxa" w:w="1072"/>
          </w:tcPr>
          <w:p>
            <w:r>
              <w:t>[0.816, 1.060]</w:t>
            </w:r>
          </w:p>
        </w:tc>
      </w:tr>
      <w:tr>
        <w:tc>
          <w:tcPr>
            <w:tcW w:type="dxa" w:w="1072"/>
          </w:tcPr>
          <w:p>
            <w:r>
              <w:t>Q5</w:t>
            </w:r>
          </w:p>
        </w:tc>
        <w:tc>
          <w:tcPr>
            <w:tcW w:type="dxa" w:w="1072"/>
          </w:tcPr>
          <w:p>
            <w:r>
              <w:t>58</w:t>
            </w:r>
          </w:p>
        </w:tc>
        <w:tc>
          <w:tcPr>
            <w:tcW w:type="dxa" w:w="1072"/>
          </w:tcPr>
          <w:p>
            <w:r>
              <w:t>23662</w:t>
            </w:r>
          </w:p>
        </w:tc>
        <w:tc>
          <w:tcPr>
            <w:tcW w:type="dxa" w:w="1072"/>
          </w:tcPr>
          <w:p>
            <w:r>
              <w:t>500</w:t>
            </w:r>
          </w:p>
        </w:tc>
        <w:tc>
          <w:tcPr>
            <w:tcW w:type="dxa" w:w="1072"/>
          </w:tcPr>
          <w:p>
            <w:r>
              <w:t>0.996</w:t>
            </w:r>
          </w:p>
        </w:tc>
        <w:tc>
          <w:tcPr>
            <w:tcW w:type="dxa" w:w="1072"/>
          </w:tcPr>
          <w:p>
            <w:r>
              <w:t>1.0</w:t>
            </w:r>
          </w:p>
        </w:tc>
        <w:tc>
          <w:tcPr>
            <w:tcW w:type="dxa" w:w="1072"/>
          </w:tcPr>
          <w:p>
            <w:r>
              <w:t>0.938</w:t>
            </w:r>
          </w:p>
        </w:tc>
        <w:tc>
          <w:tcPr>
            <w:tcW w:type="dxa" w:w="1072"/>
          </w:tcPr>
          <w:p>
            <w:r>
              <w:t>0.946</w:t>
            </w:r>
          </w:p>
        </w:tc>
        <w:tc>
          <w:tcPr>
            <w:tcW w:type="dxa" w:w="1072"/>
          </w:tcPr>
          <w:p>
            <w:r>
              <w:t>[0.773, 1.030]</w:t>
            </w:r>
          </w:p>
        </w:tc>
      </w:tr>
    </w:tbl>
    <w:p/>
    <w:p>
      <w:pPr/>
      <w:r>
        <w:t>Table 11. Descriptive failure-case inventory: securities grouped partly by zero-range share. Because that share is the estimator's own failure mode, this grouping selects on the outcome and is NOT robustness evidence; see Tables 21-22 for the lagged, outcome-independent screen.</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tcPr>
          <w:p>
            <w:r>
              <w:t>Group / security</w:t>
            </w:r>
          </w:p>
        </w:tc>
        <w:tc>
          <w:tcPr>
            <w:tcW w:type="dxa" w:w="1206"/>
          </w:tcPr>
          <w:p>
            <w:r>
              <w:t>Securities or observations</w:t>
            </w:r>
          </w:p>
        </w:tc>
        <w:tc>
          <w:tcPr>
            <w:tcW w:type="dxa" w:w="1206"/>
          </w:tcPr>
          <w:p>
            <w:r>
              <w:t>Stock-days or listing window</w:t>
            </w:r>
          </w:p>
        </w:tc>
        <w:tc>
          <w:tcPr>
            <w:tcW w:type="dxa" w:w="1206"/>
          </w:tcPr>
          <w:p>
            <w:r>
              <w:t>Share of panel / participation</w:t>
            </w:r>
          </w:p>
        </w:tc>
        <w:tc>
          <w:tcPr>
            <w:tcW w:type="dxa" w:w="1206"/>
          </w:tcPr>
          <w:p>
            <w:r>
              <w:t>Zero-range share</w:t>
            </w:r>
          </w:p>
        </w:tc>
        <w:tc>
          <w:tcPr>
            <w:tcW w:type="dxa" w:w="1206"/>
          </w:tcPr>
          <w:p>
            <w:r>
              <w:t>Parkinson: SD ratio to matched proxy</w:t>
            </w:r>
          </w:p>
        </w:tc>
        <w:tc>
          <w:tcPr>
            <w:tcW w:type="dxa" w:w="1206"/>
          </w:tcPr>
          <w:p>
            <w:r>
              <w:t>95% CI (two-way)</w:t>
            </w:r>
          </w:p>
        </w:tc>
        <w:tc>
          <w:tcPr>
            <w:tcW w:type="dxa" w:w="1206"/>
          </w:tcPr>
          <w:p>
            <w:r>
              <w:t>Verdict vs ±5% margin</w:t>
            </w:r>
          </w:p>
        </w:tc>
      </w:tr>
      <w:tr>
        <w:tc>
          <w:tcPr>
            <w:tcW w:type="dxa" w:w="1206"/>
          </w:tcPr>
          <w:p>
            <w:r>
              <w:t>GROUP: extreme thin tail</w:t>
            </w:r>
          </w:p>
        </w:tc>
        <w:tc>
          <w:tcPr>
            <w:tcW w:type="dxa" w:w="1206"/>
          </w:tcPr>
          <w:p>
            <w:r>
              <w:t>4 securities</w:t>
            </w:r>
          </w:p>
        </w:tc>
        <w:tc>
          <w:tcPr>
            <w:tcW w:type="dxa" w:w="1206"/>
          </w:tcPr>
          <w:p>
            <w:r>
              <w:t>919</w:t>
            </w:r>
          </w:p>
        </w:tc>
        <w:tc>
          <w:tcPr>
            <w:tcW w:type="dxa" w:w="1206"/>
          </w:tcPr>
          <w:p>
            <w:r>
              <w:t>0.64%</w:t>
            </w:r>
          </w:p>
        </w:tc>
        <w:tc>
          <w:tcPr>
            <w:tcW w:type="dxa" w:w="1206"/>
          </w:tcPr>
          <w:p>
            <w:r>
              <w:t>26.2%</w:t>
            </w:r>
          </w:p>
        </w:tc>
        <w:tc>
          <w:tcPr>
            <w:tcW w:type="dxa" w:w="1206"/>
          </w:tcPr>
          <w:p>
            <w:r>
              <w:t>0.814</w:t>
            </w:r>
          </w:p>
        </w:tc>
        <w:tc>
          <w:tcPr>
            <w:tcW w:type="dxa" w:w="1206"/>
          </w:tcPr>
          <w:p>
            <w:r>
              <w:t>[0.722, 0.909]</w:t>
            </w:r>
          </w:p>
        </w:tc>
        <w:tc>
          <w:tcPr>
            <w:tcW w:type="dxa" w:w="1206"/>
          </w:tcPr>
          <w:p>
            <w:r>
              <w:t>different</w:t>
            </w:r>
          </w:p>
        </w:tc>
      </w:tr>
      <w:tr>
        <w:tc>
          <w:tcPr>
            <w:tcW w:type="dxa" w:w="1206"/>
          </w:tcPr>
          <w:p>
            <w:r>
              <w:t>GROUP: all other ordinary equity</w:t>
            </w:r>
          </w:p>
        </w:tc>
        <w:tc>
          <w:tcPr>
            <w:tcW w:type="dxa" w:w="1206"/>
          </w:tcPr>
          <w:p>
            <w:r>
              <w:t>288 securities</w:t>
            </w:r>
          </w:p>
        </w:tc>
        <w:tc>
          <w:tcPr>
            <w:tcW w:type="dxa" w:w="1206"/>
          </w:tcPr>
          <w:p>
            <w:r>
              <w:t>142,799</w:t>
            </w:r>
          </w:p>
        </w:tc>
        <w:tc>
          <w:tcPr>
            <w:tcW w:type="dxa" w:w="1206"/>
          </w:tcPr>
          <w:p>
            <w:r>
              <w:t>99.36%</w:t>
            </w:r>
          </w:p>
        </w:tc>
        <w:tc>
          <w:tcPr>
            <w:tcW w:type="dxa" w:w="1206"/>
          </w:tcPr>
          <w:p>
            <w:r>
              <w:t>0.1%</w:t>
            </w:r>
          </w:p>
        </w:tc>
        <w:tc>
          <w:tcPr>
            <w:tcW w:type="dxa" w:w="1206"/>
          </w:tcPr>
          <w:p>
            <w:r>
              <w:t>1.001</w:t>
            </w:r>
          </w:p>
        </w:tc>
        <w:tc>
          <w:tcPr>
            <w:tcW w:type="dxa" w:w="1206"/>
          </w:tcPr>
          <w:p>
            <w:r>
              <w:t>[0.984, 1.018]</w:t>
            </w:r>
          </w:p>
        </w:tc>
        <w:tc>
          <w:tcPr>
            <w:tcW w:type="dxa" w:w="1206"/>
          </w:tcPr>
          <w:p>
            <w:r>
              <w:t>equivalent</w:t>
            </w:r>
          </w:p>
        </w:tc>
      </w:tr>
      <w:tr>
        <w:tc>
          <w:tcPr>
            <w:tcW w:type="dxa" w:w="1206"/>
          </w:tcPr>
          <w:p>
            <w:r/>
          </w:p>
        </w:tc>
        <w:tc>
          <w:tcPr>
            <w:tcW w:type="dxa" w:w="1206"/>
          </w:tcPr>
          <w:p>
            <w:r>
              <w:t>29 observed</w:t>
            </w:r>
          </w:p>
        </w:tc>
        <w:tc>
          <w:tcPr>
            <w:tcW w:type="dxa" w:w="1206"/>
          </w:tcPr>
          <w:p>
            <w:r>
              <w:t>549</w:t>
            </w:r>
          </w:p>
        </w:tc>
        <w:tc>
          <w:tcPr>
            <w:tcW w:type="dxa" w:w="1206"/>
          </w:tcPr>
          <w:p>
            <w:r>
              <w:t>5.3%</w:t>
            </w:r>
          </w:p>
        </w:tc>
        <w:tc>
          <w:tcPr>
            <w:tcW w:type="dxa" w:w="1206"/>
          </w:tcPr>
          <w:p>
            <w:r>
              <w:t>86.2%</w:t>
            </w:r>
          </w:p>
        </w:tc>
        <w:tc>
          <w:tcPr>
            <w:tcW w:type="dxa" w:w="1206"/>
          </w:tcPr>
          <w:p>
            <w:r>
              <w:t>0.601</w:t>
            </w:r>
          </w:p>
        </w:tc>
        <w:tc>
          <w:tcPr>
            <w:tcW w:type="dxa" w:w="1206"/>
          </w:tcPr>
          <w:p>
            <w:r/>
          </w:p>
        </w:tc>
        <w:tc>
          <w:tcPr>
            <w:tcW w:type="dxa" w:w="1206"/>
          </w:tcPr>
          <w:p>
            <w:r>
              <w:t>collapses</w:t>
            </w:r>
          </w:p>
        </w:tc>
      </w:tr>
      <w:tr>
        <w:tc>
          <w:tcPr>
            <w:tcW w:type="dxa" w:w="1206"/>
          </w:tcPr>
          <w:p>
            <w:r/>
          </w:p>
        </w:tc>
        <w:tc>
          <w:tcPr>
            <w:tcW w:type="dxa" w:w="1206"/>
          </w:tcPr>
          <w:p>
            <w:r>
              <w:t>374 observed</w:t>
            </w:r>
          </w:p>
        </w:tc>
        <w:tc>
          <w:tcPr>
            <w:tcW w:type="dxa" w:w="1206"/>
          </w:tcPr>
          <w:p>
            <w:r>
              <w:t>569</w:t>
            </w:r>
          </w:p>
        </w:tc>
        <w:tc>
          <w:tcPr>
            <w:tcW w:type="dxa" w:w="1206"/>
          </w:tcPr>
          <w:p>
            <w:r>
              <w:t>65.7%</w:t>
            </w:r>
          </w:p>
        </w:tc>
        <w:tc>
          <w:tcPr>
            <w:tcW w:type="dxa" w:w="1206"/>
          </w:tcPr>
          <w:p>
            <w:r>
              <w:t>31.6%</w:t>
            </w:r>
          </w:p>
        </w:tc>
        <w:tc>
          <w:tcPr>
            <w:tcW w:type="dxa" w:w="1206"/>
          </w:tcPr>
          <w:p>
            <w:r>
              <w:t>0.801</w:t>
            </w:r>
          </w:p>
        </w:tc>
        <w:tc>
          <w:tcPr>
            <w:tcW w:type="dxa" w:w="1206"/>
          </w:tcPr>
          <w:p>
            <w:r/>
          </w:p>
        </w:tc>
        <w:tc>
          <w:tcPr>
            <w:tcW w:type="dxa" w:w="1206"/>
          </w:tcPr>
          <w:p>
            <w:r>
              <w:t>collapses</w:t>
            </w:r>
          </w:p>
        </w:tc>
      </w:tr>
      <w:tr>
        <w:tc>
          <w:tcPr>
            <w:tcW w:type="dxa" w:w="1206"/>
          </w:tcPr>
          <w:p>
            <w:r/>
          </w:p>
        </w:tc>
        <w:tc>
          <w:tcPr>
            <w:tcW w:type="dxa" w:w="1206"/>
          </w:tcPr>
          <w:p>
            <w:r>
              <w:t>510 observed</w:t>
            </w:r>
          </w:p>
        </w:tc>
        <w:tc>
          <w:tcPr>
            <w:tcW w:type="dxa" w:w="1206"/>
          </w:tcPr>
          <w:p>
            <w:r>
              <w:t>566</w:t>
            </w:r>
          </w:p>
        </w:tc>
        <w:tc>
          <w:tcPr>
            <w:tcW w:type="dxa" w:w="1206"/>
          </w:tcPr>
          <w:p>
            <w:r>
              <w:t>90.1%</w:t>
            </w:r>
          </w:p>
        </w:tc>
        <w:tc>
          <w:tcPr>
            <w:tcW w:type="dxa" w:w="1206"/>
          </w:tcPr>
          <w:p>
            <w:r>
              <w:t>19.0%</w:t>
            </w:r>
          </w:p>
        </w:tc>
        <w:tc>
          <w:tcPr>
            <w:tcW w:type="dxa" w:w="1206"/>
          </w:tcPr>
          <w:p>
            <w:r>
              <w:t>0.841</w:t>
            </w:r>
          </w:p>
        </w:tc>
        <w:tc>
          <w:tcPr>
            <w:tcW w:type="dxa" w:w="1206"/>
          </w:tcPr>
          <w:p>
            <w:r/>
          </w:p>
        </w:tc>
        <w:tc>
          <w:tcPr>
            <w:tcW w:type="dxa" w:w="1206"/>
          </w:tcPr>
          <w:p>
            <w:r>
              <w:t>collapses</w:t>
            </w:r>
          </w:p>
        </w:tc>
      </w:tr>
      <w:tr>
        <w:tc>
          <w:tcPr>
            <w:tcW w:type="dxa" w:w="1206"/>
          </w:tcPr>
          <w:p>
            <w:r/>
          </w:p>
        </w:tc>
        <w:tc>
          <w:tcPr>
            <w:tcW w:type="dxa" w:w="1206"/>
          </w:tcPr>
          <w:p>
            <w:r>
              <w:t>6 observed</w:t>
            </w:r>
          </w:p>
        </w:tc>
        <w:tc>
          <w:tcPr>
            <w:tcW w:type="dxa" w:w="1206"/>
          </w:tcPr>
          <w:p>
            <w:r>
              <w:t>6</w:t>
            </w:r>
          </w:p>
        </w:tc>
        <w:tc>
          <w:tcPr>
            <w:tcW w:type="dxa" w:w="1206"/>
          </w:tcPr>
          <w:p>
            <w:r>
              <w:t>100.0%</w:t>
            </w:r>
          </w:p>
        </w:tc>
        <w:tc>
          <w:tcPr>
            <w:tcW w:type="dxa" w:w="1206"/>
          </w:tcPr>
          <w:p>
            <w:r>
              <w:t>16.7%</w:t>
            </w:r>
          </w:p>
        </w:tc>
        <w:tc>
          <w:tcPr>
            <w:tcW w:type="dxa" w:w="1206"/>
          </w:tcPr>
          <w:p>
            <w:r>
              <w:t>1.006</w:t>
            </w:r>
          </w:p>
        </w:tc>
        <w:tc>
          <w:tcPr>
            <w:tcW w:type="dxa" w:w="1206"/>
          </w:tcPr>
          <w:p>
            <w:r/>
          </w:p>
        </w:tc>
        <w:tc>
          <w:tcPr>
            <w:tcW w:type="dxa" w:w="1206"/>
          </w:tcPr>
          <w:p>
            <w:r>
              <w:t>collapses</w:t>
            </w:r>
          </w:p>
        </w:tc>
      </w:tr>
    </w:tbl>
    <w:p/>
    <w:p>
      <w:pPr/>
      <w:r>
        <w:t>Table 12. Yang-Zhang against a horizon-matched benchmark, under the unadjusted and the corporate-action-adjusted previous close; the adopted specification is marked.</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trPr>
        <w:tc>
          <w:tcPr>
            <w:tcW w:type="dxa" w:w="1608"/>
          </w:tcPr>
          <w:p>
            <w:r>
              <w:t>Previous-close definition</w:t>
            </w:r>
          </w:p>
        </w:tc>
        <w:tc>
          <w:tcPr>
            <w:tcW w:type="dxa" w:w="1608"/>
          </w:tcPr>
          <w:p>
            <w:r>
              <w:t>Benchmark horizon</w:t>
            </w:r>
          </w:p>
        </w:tc>
        <w:tc>
          <w:tcPr>
            <w:tcW w:type="dxa" w:w="1608"/>
          </w:tcPr>
          <w:p>
            <w:r>
              <w:t>Horizon-matched</w:t>
            </w:r>
          </w:p>
        </w:tc>
        <w:tc>
          <w:tcPr>
            <w:tcW w:type="dxa" w:w="1608"/>
          </w:tcPr>
          <w:p>
            <w:r>
              <w:t>Matched stock-days</w:t>
            </w:r>
          </w:p>
        </w:tc>
        <w:tc>
          <w:tcPr>
            <w:tcW w:type="dxa" w:w="1608"/>
          </w:tcPr>
          <w:p>
            <w:r>
              <w:t>SD ratio to matched proxy</w:t>
            </w:r>
          </w:p>
        </w:tc>
        <w:tc>
          <w:tcPr>
            <w:tcW w:type="dxa" w:w="1608"/>
          </w:tcPr>
          <w:p>
            <w:r>
              <w:t>Adopted</w:t>
            </w:r>
          </w:p>
        </w:tc>
      </w:tr>
      <w:tr>
        <w:tc>
          <w:tcPr>
            <w:tcW w:type="dxa" w:w="1608"/>
          </w:tcPr>
          <w:p>
            <w:r>
              <w:t>unadjusted previous session</w:t>
            </w:r>
          </w:p>
        </w:tc>
        <w:tc>
          <w:tcPr>
            <w:tcW w:type="dxa" w:w="1608"/>
          </w:tcPr>
          <w:p>
            <w:r>
              <w:t>same-session r_cc^2</w:t>
            </w:r>
          </w:p>
        </w:tc>
        <w:tc>
          <w:tcPr>
            <w:tcW w:type="dxa" w:w="1608"/>
          </w:tcPr>
          <w:p>
            <w:r>
              <w:t>False</w:t>
            </w:r>
          </w:p>
        </w:tc>
        <w:tc>
          <w:tcPr>
            <w:tcW w:type="dxa" w:w="1608"/>
          </w:tcPr>
          <w:p>
            <w:r>
              <w:t>135,899</w:t>
            </w:r>
          </w:p>
        </w:tc>
        <w:tc>
          <w:tcPr>
            <w:tcW w:type="dxa" w:w="1608"/>
          </w:tcPr>
          <w:p>
            <w:r>
              <w:t>1.288</w:t>
            </w:r>
          </w:p>
        </w:tc>
        <w:tc>
          <w:tcPr>
            <w:tcW w:type="dxa" w:w="1608"/>
          </w:tcPr>
          <w:p>
            <w:r>
              <w:t>False</w:t>
            </w:r>
          </w:p>
        </w:tc>
      </w:tr>
      <w:tr>
        <w:tc>
          <w:tcPr>
            <w:tcW w:type="dxa" w:w="1608"/>
          </w:tcPr>
          <w:p>
            <w:r>
              <w:t>unadjusted previous session</w:t>
            </w:r>
          </w:p>
        </w:tc>
        <w:tc>
          <w:tcPr>
            <w:tcW w:type="dxa" w:w="1608"/>
          </w:tcPr>
          <w:p>
            <w:r>
              <w:t>21-session close-to-close variance</w:t>
            </w:r>
          </w:p>
        </w:tc>
        <w:tc>
          <w:tcPr>
            <w:tcW w:type="dxa" w:w="1608"/>
          </w:tcPr>
          <w:p>
            <w:r>
              <w:t>True</w:t>
            </w:r>
          </w:p>
        </w:tc>
        <w:tc>
          <w:tcPr>
            <w:tcW w:type="dxa" w:w="1608"/>
          </w:tcPr>
          <w:p>
            <w:r>
              <w:t>135,899</w:t>
            </w:r>
          </w:p>
        </w:tc>
        <w:tc>
          <w:tcPr>
            <w:tcW w:type="dxa" w:w="1608"/>
          </w:tcPr>
          <w:p>
            <w:r>
              <w:t>1.273</w:t>
            </w:r>
          </w:p>
        </w:tc>
        <w:tc>
          <w:tcPr>
            <w:tcW w:type="dxa" w:w="1608"/>
          </w:tcPr>
          <w:p>
            <w:r>
              <w:t>False</w:t>
            </w:r>
          </w:p>
        </w:tc>
      </w:tr>
      <w:tr>
        <w:tc>
          <w:tcPr>
            <w:tcW w:type="dxa" w:w="1608"/>
          </w:tcPr>
          <w:p>
            <w:r>
              <w:t>corporate-action adjusted (adopted)</w:t>
            </w:r>
          </w:p>
        </w:tc>
        <w:tc>
          <w:tcPr>
            <w:tcW w:type="dxa" w:w="1608"/>
          </w:tcPr>
          <w:p>
            <w:r>
              <w:t>same-session r_cc^2</w:t>
            </w:r>
          </w:p>
        </w:tc>
        <w:tc>
          <w:tcPr>
            <w:tcW w:type="dxa" w:w="1608"/>
          </w:tcPr>
          <w:p>
            <w:r>
              <w:t>False</w:t>
            </w:r>
          </w:p>
        </w:tc>
        <w:tc>
          <w:tcPr>
            <w:tcW w:type="dxa" w:w="1608"/>
          </w:tcPr>
          <w:p>
            <w:r>
              <w:t>135,899</w:t>
            </w:r>
          </w:p>
        </w:tc>
        <w:tc>
          <w:tcPr>
            <w:tcW w:type="dxa" w:w="1608"/>
          </w:tcPr>
          <w:p>
            <w:r>
              <w:t>1.295</w:t>
            </w:r>
          </w:p>
        </w:tc>
        <w:tc>
          <w:tcPr>
            <w:tcW w:type="dxa" w:w="1608"/>
          </w:tcPr>
          <w:p>
            <w:r>
              <w:t>False</w:t>
            </w:r>
          </w:p>
        </w:tc>
      </w:tr>
      <w:tr>
        <w:tc>
          <w:tcPr>
            <w:tcW w:type="dxa" w:w="1608"/>
          </w:tcPr>
          <w:p>
            <w:r>
              <w:t>corporate-action adjusted (adopted)</w:t>
            </w:r>
          </w:p>
        </w:tc>
        <w:tc>
          <w:tcPr>
            <w:tcW w:type="dxa" w:w="1608"/>
          </w:tcPr>
          <w:p>
            <w:r>
              <w:t>21-session close-to-close variance</w:t>
            </w:r>
          </w:p>
        </w:tc>
        <w:tc>
          <w:tcPr>
            <w:tcW w:type="dxa" w:w="1608"/>
          </w:tcPr>
          <w:p>
            <w:r>
              <w:t>True</w:t>
            </w:r>
          </w:p>
        </w:tc>
        <w:tc>
          <w:tcPr>
            <w:tcW w:type="dxa" w:w="1608"/>
          </w:tcPr>
          <w:p>
            <w:r>
              <w:t>135,899</w:t>
            </w:r>
          </w:p>
        </w:tc>
        <w:tc>
          <w:tcPr>
            <w:tcW w:type="dxa" w:w="1608"/>
          </w:tcPr>
          <w:p>
            <w:r>
              <w:t>1.280</w:t>
            </w:r>
          </w:p>
        </w:tc>
        <w:tc>
          <w:tcPr>
            <w:tcW w:type="dxa" w:w="1608"/>
          </w:tcPr>
          <w:p>
            <w:r>
              <w:t>True</w:t>
            </w:r>
          </w:p>
        </w:tc>
      </w:tr>
    </w:tbl>
    <w:p/>
    <w:p>
      <w:pPr/>
      <w:r>
        <w:t>Table 13. India VIX correlation: full 2010-2026 sample versus the window that overlaps the NEPSE study.</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tcPr>
          <w:p>
            <w:r>
              <w:t>Window</w:t>
            </w:r>
          </w:p>
        </w:tc>
        <w:tc>
          <w:tcPr>
            <w:tcW w:type="dxa" w:w="1378"/>
          </w:tcPr>
          <w:p>
            <w:r>
              <w:t>First</w:t>
            </w:r>
          </w:p>
        </w:tc>
        <w:tc>
          <w:tcPr>
            <w:tcW w:type="dxa" w:w="1378"/>
          </w:tcPr>
          <w:p>
            <w:r>
              <w:t>Last</w:t>
            </w:r>
          </w:p>
        </w:tc>
        <w:tc>
          <w:tcPr>
            <w:tcW w:type="dxa" w:w="1378"/>
          </w:tcPr>
          <w:p>
            <w:r>
              <w:t>Observations</w:t>
            </w:r>
          </w:p>
        </w:tc>
        <w:tc>
          <w:tcPr>
            <w:tcW w:type="dxa" w:w="1378"/>
          </w:tcPr>
          <w:p>
            <w:r>
              <w:t>Correlation: Parkinson (21d) with India VIX</w:t>
            </w:r>
          </w:p>
        </w:tc>
        <w:tc>
          <w:tcPr>
            <w:tcW w:type="dxa" w:w="1378"/>
          </w:tcPr>
          <w:p>
            <w:r>
              <w:t>Correlation: close-to-close (21d) with India VIX</w:t>
            </w:r>
          </w:p>
        </w:tc>
        <w:tc>
          <w:tcPr>
            <w:tcW w:type="dxa" w:w="1378"/>
          </w:tcPr>
          <w:p>
            <w:r>
              <w:t>Parkinson exceeds close-to-close</w:t>
            </w:r>
          </w:p>
        </w:tc>
      </w:tr>
      <w:tr>
        <w:tc>
          <w:tcPr>
            <w:tcW w:type="dxa" w:w="1378"/>
          </w:tcPr>
          <w:p>
            <w:r>
              <w:t>full VIX sample (2010 onward)</w:t>
            </w:r>
          </w:p>
        </w:tc>
        <w:tc>
          <w:tcPr>
            <w:tcW w:type="dxa" w:w="1378"/>
          </w:tcPr>
          <w:p>
            <w:r>
              <w:t>2010-02-03</w:t>
            </w:r>
          </w:p>
        </w:tc>
        <w:tc>
          <w:tcPr>
            <w:tcW w:type="dxa" w:w="1378"/>
          </w:tcPr>
          <w:p>
            <w:r>
              <w:t>2026-06-12</w:t>
            </w:r>
          </w:p>
        </w:tc>
        <w:tc>
          <w:tcPr>
            <w:tcW w:type="dxa" w:w="1378"/>
          </w:tcPr>
          <w:p>
            <w:r>
              <w:t>3,999</w:t>
            </w:r>
          </w:p>
        </w:tc>
        <w:tc>
          <w:tcPr>
            <w:tcW w:type="dxa" w:w="1378"/>
          </w:tcPr>
          <w:p>
            <w:r>
              <w:t>0.776</w:t>
            </w:r>
          </w:p>
        </w:tc>
        <w:tc>
          <w:tcPr>
            <w:tcW w:type="dxa" w:w="1378"/>
          </w:tcPr>
          <w:p>
            <w:r>
              <w:t>0.796</w:t>
            </w:r>
          </w:p>
        </w:tc>
        <w:tc>
          <w:tcPr>
            <w:tcW w:type="dxa" w:w="1378"/>
          </w:tcPr>
          <w:p>
            <w:r>
              <w:t>False</w:t>
            </w:r>
          </w:p>
        </w:tc>
      </w:tr>
      <w:tr>
        <w:tc>
          <w:tcPr>
            <w:tcW w:type="dxa" w:w="1378"/>
          </w:tcPr>
          <w:p>
            <w:r>
              <w:t>NEPSE-overlap window only</w:t>
            </w:r>
          </w:p>
        </w:tc>
        <w:tc>
          <w:tcPr>
            <w:tcW w:type="dxa" w:w="1378"/>
          </w:tcPr>
          <w:p>
            <w:r>
              <w:t>2024-03-04</w:t>
            </w:r>
          </w:p>
        </w:tc>
        <w:tc>
          <w:tcPr>
            <w:tcW w:type="dxa" w:w="1378"/>
          </w:tcPr>
          <w:p>
            <w:r>
              <w:t>2026-06-12</w:t>
            </w:r>
          </w:p>
        </w:tc>
        <w:tc>
          <w:tcPr>
            <w:tcW w:type="dxa" w:w="1378"/>
          </w:tcPr>
          <w:p>
            <w:r>
              <w:t>557</w:t>
            </w:r>
          </w:p>
        </w:tc>
        <w:tc>
          <w:tcPr>
            <w:tcW w:type="dxa" w:w="1378"/>
          </w:tcPr>
          <w:p>
            <w:r>
              <w:t>0.508</w:t>
            </w:r>
          </w:p>
        </w:tc>
        <w:tc>
          <w:tcPr>
            <w:tcW w:type="dxa" w:w="1378"/>
          </w:tcPr>
          <w:p>
            <w:r>
              <w:t>0.57</w:t>
            </w:r>
          </w:p>
        </w:tc>
        <w:tc>
          <w:tcPr>
            <w:tcW w:type="dxa" w:w="1378"/>
          </w:tcPr>
          <w:p>
            <w:r>
              <w:t>False</w:t>
            </w:r>
          </w:p>
        </w:tc>
      </w:tr>
    </w:tbl>
    <w:p/>
    <w:p>
      <w:pPr/>
      <w:r>
        <w:t>Table 14. Information content of each within-session estimator relative to the matched proxy: Pearson and Spearman correlation, alongside the SD ratio already reported in Table 4.</w:t>
      </w:r>
    </w:p>
    <w:tbl>
      <w:tblPr>
        <w:tblStyle w:val="TableGrid"/>
        <w:tblW w:type="auto" w:w="0"/>
        <w:tblLook w:firstColumn="1" w:firstRow="1" w:lastColumn="0" w:lastRow="0" w:noHBand="0" w:noVBand="1" w:val="04A0"/>
      </w:tblPr>
      <w:tblGrid>
        <w:gridCol w:w="1930"/>
        <w:gridCol w:w="1930"/>
        <w:gridCol w:w="1930"/>
        <w:gridCol w:w="1930"/>
        <w:gridCol w:w="1930"/>
      </w:tblGrid>
      <w:tr>
        <w:trPr>
          <w:tblHeader/>
        </w:trPr>
        <w:tc>
          <w:tcPr>
            <w:tcW w:type="dxa" w:w="1930"/>
          </w:tcPr>
          <w:p>
            <w:r>
              <w:t>Estimator</w:t>
            </w:r>
          </w:p>
        </w:tc>
        <w:tc>
          <w:tcPr>
            <w:tcW w:type="dxa" w:w="1930"/>
          </w:tcPr>
          <w:p>
            <w:r>
              <w:t>Matched stock-days</w:t>
            </w:r>
          </w:p>
        </w:tc>
        <w:tc>
          <w:tcPr>
            <w:tcW w:type="dxa" w:w="1930"/>
          </w:tcPr>
          <w:p>
            <w:r>
              <w:t>SD ratio to matched proxy</w:t>
            </w:r>
          </w:p>
        </w:tc>
        <w:tc>
          <w:tcPr>
            <w:tcW w:type="dxa" w:w="1930"/>
          </w:tcPr>
          <w:p>
            <w:r>
              <w:t>Pearson correlation with proxy</w:t>
            </w:r>
          </w:p>
        </w:tc>
        <w:tc>
          <w:tcPr>
            <w:tcW w:type="dxa" w:w="1930"/>
          </w:tcPr>
          <w:p>
            <w:r>
              <w:t>Spearman correlation with proxy</w:t>
            </w:r>
          </w:p>
        </w:tc>
      </w:tr>
      <w:tr>
        <w:tc>
          <w:tcPr>
            <w:tcW w:type="dxa" w:w="1930"/>
          </w:tcPr>
          <w:p>
            <w:r>
              <w:t>Parkinson</w:t>
            </w:r>
          </w:p>
        </w:tc>
        <w:tc>
          <w:tcPr>
            <w:tcW w:type="dxa" w:w="1930"/>
          </w:tcPr>
          <w:p>
            <w:r>
              <w:t>143,718</w:t>
            </w:r>
          </w:p>
        </w:tc>
        <w:tc>
          <w:tcPr>
            <w:tcW w:type="dxa" w:w="1930"/>
          </w:tcPr>
          <w:p>
            <w:r>
              <w:t>1.001</w:t>
            </w:r>
          </w:p>
        </w:tc>
        <w:tc>
          <w:tcPr>
            <w:tcW w:type="dxa" w:w="1930"/>
          </w:tcPr>
          <w:p>
            <w:r>
              <w:t>0.701</w:t>
            </w:r>
          </w:p>
        </w:tc>
        <w:tc>
          <w:tcPr>
            <w:tcW w:type="dxa" w:w="1930"/>
          </w:tcPr>
          <w:p>
            <w:r>
              <w:t>0.63</w:t>
            </w:r>
          </w:p>
        </w:tc>
      </w:tr>
      <w:tr>
        <w:tc>
          <w:tcPr>
            <w:tcW w:type="dxa" w:w="1930"/>
          </w:tcPr>
          <w:p>
            <w:r>
              <w:t>Garman-Klass</w:t>
            </w:r>
          </w:p>
        </w:tc>
        <w:tc>
          <w:tcPr>
            <w:tcW w:type="dxa" w:w="1930"/>
          </w:tcPr>
          <w:p>
            <w:r>
              <w:t>143,718</w:t>
            </w:r>
          </w:p>
        </w:tc>
        <w:tc>
          <w:tcPr>
            <w:tcW w:type="dxa" w:w="1930"/>
          </w:tcPr>
          <w:p>
            <w:r>
              <w:t>1.001</w:t>
            </w:r>
          </w:p>
        </w:tc>
        <w:tc>
          <w:tcPr>
            <w:tcW w:type="dxa" w:w="1930"/>
          </w:tcPr>
          <w:p>
            <w:r>
              <w:t>0.381</w:t>
            </w:r>
          </w:p>
        </w:tc>
        <w:tc>
          <w:tcPr>
            <w:tcW w:type="dxa" w:w="1930"/>
          </w:tcPr>
          <w:p>
            <w:r>
              <w:t>0.391</w:t>
            </w:r>
          </w:p>
        </w:tc>
      </w:tr>
      <w:tr>
        <w:tc>
          <w:tcPr>
            <w:tcW w:type="dxa" w:w="1930"/>
          </w:tcPr>
          <w:p>
            <w:r>
              <w:t>Rogers-Satchell</w:t>
            </w:r>
          </w:p>
        </w:tc>
        <w:tc>
          <w:tcPr>
            <w:tcW w:type="dxa" w:w="1930"/>
          </w:tcPr>
          <w:p>
            <w:r>
              <w:t>143,718</w:t>
            </w:r>
          </w:p>
        </w:tc>
        <w:tc>
          <w:tcPr>
            <w:tcW w:type="dxa" w:w="1930"/>
          </w:tcPr>
          <w:p>
            <w:r>
              <w:t>1.037</w:t>
            </w:r>
          </w:p>
        </w:tc>
        <w:tc>
          <w:tcPr>
            <w:tcW w:type="dxa" w:w="1930"/>
          </w:tcPr>
          <w:p>
            <w:r>
              <w:t>0.209</w:t>
            </w:r>
          </w:p>
        </w:tc>
        <w:tc>
          <w:tcPr>
            <w:tcW w:type="dxa" w:w="1930"/>
          </w:tcPr>
          <w:p>
            <w:r>
              <w:t>0.138</w:t>
            </w:r>
          </w:p>
        </w:tc>
      </w:tr>
      <w:tr>
        <w:tc>
          <w:tcPr>
            <w:tcW w:type="dxa" w:w="1930"/>
          </w:tcPr>
          <w:p>
            <w:r>
              <w:t>AddRS</w:t>
            </w:r>
          </w:p>
        </w:tc>
        <w:tc>
          <w:tcPr>
            <w:tcW w:type="dxa" w:w="1930"/>
          </w:tcPr>
          <w:p>
            <w:r>
              <w:t>143,718</w:t>
            </w:r>
          </w:p>
        </w:tc>
        <w:tc>
          <w:tcPr>
            <w:tcW w:type="dxa" w:w="1930"/>
          </w:tcPr>
          <w:p>
            <w:r>
              <w:t>1.225</w:t>
            </w:r>
          </w:p>
        </w:tc>
        <w:tc>
          <w:tcPr>
            <w:tcW w:type="dxa" w:w="1930"/>
          </w:tcPr>
          <w:p>
            <w:r>
              <w:t>0.679</w:t>
            </w:r>
          </w:p>
        </w:tc>
        <w:tc>
          <w:tcPr>
            <w:tcW w:type="dxa" w:w="1930"/>
          </w:tcPr>
          <w:p>
            <w:r>
              <w:t>0.519</w:t>
            </w:r>
          </w:p>
        </w:tc>
      </w:tr>
    </w:tbl>
    <w:p/>
    <w:p>
      <w:pPr/>
      <w:r>
        <w:t>Table 15. Dependence structure of the uncertainty interval: security-only, two-way, and stationary block-date clustering, for the six named estimators of Table 7.</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tcPr>
          <w:p>
            <w:r>
              <w:t>Estimator</w:t>
            </w:r>
          </w:p>
        </w:tc>
        <w:tc>
          <w:tcPr>
            <w:tcW w:type="dxa" w:w="1206"/>
          </w:tcPr>
          <w:p>
            <w:r>
              <w:t>SD ratio</w:t>
            </w:r>
          </w:p>
        </w:tc>
        <w:tc>
          <w:tcPr>
            <w:tcW w:type="dxa" w:w="1206"/>
          </w:tcPr>
          <w:p>
            <w:r>
              <w:t>95% CI, security-only clustering</w:t>
            </w:r>
          </w:p>
        </w:tc>
        <w:tc>
          <w:tcPr>
            <w:tcW w:type="dxa" w:w="1206"/>
          </w:tcPr>
          <w:p>
            <w:r>
              <w:t>Excludes one (security-only)</w:t>
            </w:r>
          </w:p>
        </w:tc>
        <w:tc>
          <w:tcPr>
            <w:tcW w:type="dxa" w:w="1206"/>
          </w:tcPr>
          <w:p>
            <w:r>
              <w:t>95% CI, two-way security x date</w:t>
            </w:r>
          </w:p>
        </w:tc>
        <w:tc>
          <w:tcPr>
            <w:tcW w:type="dxa" w:w="1206"/>
          </w:tcPr>
          <w:p>
            <w:r>
              <w:t>Excludes one (two-way)</w:t>
            </w:r>
          </w:p>
        </w:tc>
        <w:tc>
          <w:tcPr>
            <w:tcW w:type="dxa" w:w="1206"/>
          </w:tcPr>
          <w:p>
            <w:r>
              <w:t>95% CI, security x block-date (stationary)</w:t>
            </w:r>
          </w:p>
        </w:tc>
        <w:tc>
          <w:tcPr>
            <w:tcW w:type="dxa" w:w="1206"/>
          </w:tcPr>
          <w:p>
            <w:r>
              <w:t>Excludes one (block-date)</w:t>
            </w:r>
          </w:p>
        </w:tc>
      </w:tr>
      <w:tr>
        <w:tc>
          <w:tcPr>
            <w:tcW w:type="dxa" w:w="1206"/>
          </w:tcPr>
          <w:p>
            <w:r>
              <w:t>Parkinson</w:t>
            </w:r>
          </w:p>
        </w:tc>
        <w:tc>
          <w:tcPr>
            <w:tcW w:type="dxa" w:w="1206"/>
          </w:tcPr>
          <w:p>
            <w:r>
              <w:t>1.001</w:t>
            </w:r>
          </w:p>
        </w:tc>
        <w:tc>
          <w:tcPr>
            <w:tcW w:type="dxa" w:w="1206"/>
          </w:tcPr>
          <w:p>
            <w:r>
              <w:t>[0.992, 1.009]</w:t>
            </w:r>
          </w:p>
        </w:tc>
        <w:tc>
          <w:tcPr>
            <w:tcW w:type="dxa" w:w="1206"/>
          </w:tcPr>
          <w:p>
            <w:r>
              <w:t>False</w:t>
            </w:r>
          </w:p>
        </w:tc>
        <w:tc>
          <w:tcPr>
            <w:tcW w:type="dxa" w:w="1206"/>
          </w:tcPr>
          <w:p>
            <w:r>
              <w:t>[0.986, 1.016]</w:t>
            </w:r>
          </w:p>
        </w:tc>
        <w:tc>
          <w:tcPr>
            <w:tcW w:type="dxa" w:w="1206"/>
          </w:tcPr>
          <w:p>
            <w:r>
              <w:t>False</w:t>
            </w:r>
          </w:p>
        </w:tc>
        <w:tc>
          <w:tcPr>
            <w:tcW w:type="dxa" w:w="1206"/>
          </w:tcPr>
          <w:p>
            <w:r>
              <w:t>[0.976, 1.024]</w:t>
            </w:r>
          </w:p>
        </w:tc>
        <w:tc>
          <w:tcPr>
            <w:tcW w:type="dxa" w:w="1206"/>
          </w:tcPr>
          <w:p>
            <w:r>
              <w:t>False</w:t>
            </w:r>
          </w:p>
        </w:tc>
      </w:tr>
      <w:tr>
        <w:tc>
          <w:tcPr>
            <w:tcW w:type="dxa" w:w="1206"/>
          </w:tcPr>
          <w:p>
            <w:r>
              <w:t>Garman-Klass</w:t>
            </w:r>
          </w:p>
        </w:tc>
        <w:tc>
          <w:tcPr>
            <w:tcW w:type="dxa" w:w="1206"/>
          </w:tcPr>
          <w:p>
            <w:r>
              <w:t>1.001</w:t>
            </w:r>
          </w:p>
        </w:tc>
        <w:tc>
          <w:tcPr>
            <w:tcW w:type="dxa" w:w="1206"/>
          </w:tcPr>
          <w:p>
            <w:r>
              <w:t>[0.989, 1.013]</w:t>
            </w:r>
          </w:p>
        </w:tc>
        <w:tc>
          <w:tcPr>
            <w:tcW w:type="dxa" w:w="1206"/>
          </w:tcPr>
          <w:p>
            <w:r>
              <w:t>False</w:t>
            </w:r>
          </w:p>
        </w:tc>
        <w:tc>
          <w:tcPr>
            <w:tcW w:type="dxa" w:w="1206"/>
          </w:tcPr>
          <w:p>
            <w:r>
              <w:t>[0.981, 1.022]</w:t>
            </w:r>
          </w:p>
        </w:tc>
        <w:tc>
          <w:tcPr>
            <w:tcW w:type="dxa" w:w="1206"/>
          </w:tcPr>
          <w:p>
            <w:r>
              <w:t>False</w:t>
            </w:r>
          </w:p>
        </w:tc>
        <w:tc>
          <w:tcPr>
            <w:tcW w:type="dxa" w:w="1206"/>
          </w:tcPr>
          <w:p>
            <w:r>
              <w:t>[0.967, 1.033]</w:t>
            </w:r>
          </w:p>
        </w:tc>
        <w:tc>
          <w:tcPr>
            <w:tcW w:type="dxa" w:w="1206"/>
          </w:tcPr>
          <w:p>
            <w:r>
              <w:t>False</w:t>
            </w:r>
          </w:p>
        </w:tc>
      </w:tr>
      <w:tr>
        <w:tc>
          <w:tcPr>
            <w:tcW w:type="dxa" w:w="1206"/>
          </w:tcPr>
          <w:p>
            <w:r>
              <w:t>Rogers-Satchell</w:t>
            </w:r>
          </w:p>
        </w:tc>
        <w:tc>
          <w:tcPr>
            <w:tcW w:type="dxa" w:w="1206"/>
          </w:tcPr>
          <w:p>
            <w:r>
              <w:t>1.037</w:t>
            </w:r>
          </w:p>
        </w:tc>
        <w:tc>
          <w:tcPr>
            <w:tcW w:type="dxa" w:w="1206"/>
          </w:tcPr>
          <w:p>
            <w:r>
              <w:t>[1.022, 1.051]</w:t>
            </w:r>
          </w:p>
        </w:tc>
        <w:tc>
          <w:tcPr>
            <w:tcW w:type="dxa" w:w="1206"/>
          </w:tcPr>
          <w:p>
            <w:r>
              <w:t>True</w:t>
            </w:r>
          </w:p>
        </w:tc>
        <w:tc>
          <w:tcPr>
            <w:tcW w:type="dxa" w:w="1206"/>
          </w:tcPr>
          <w:p>
            <w:r>
              <w:t>[1.013, 1.062]</w:t>
            </w:r>
          </w:p>
        </w:tc>
        <w:tc>
          <w:tcPr>
            <w:tcW w:type="dxa" w:w="1206"/>
          </w:tcPr>
          <w:p>
            <w:r>
              <w:t>True</w:t>
            </w:r>
          </w:p>
        </w:tc>
        <w:tc>
          <w:tcPr>
            <w:tcW w:type="dxa" w:w="1206"/>
          </w:tcPr>
          <w:p>
            <w:r>
              <w:t>[1.0000, 1.074]</w:t>
            </w:r>
          </w:p>
        </w:tc>
        <w:tc>
          <w:tcPr>
            <w:tcW w:type="dxa" w:w="1206"/>
          </w:tcPr>
          <w:p>
            <w:r>
              <w:t>False</w:t>
            </w:r>
          </w:p>
        </w:tc>
      </w:tr>
      <w:tr>
        <w:tc>
          <w:tcPr>
            <w:tcW w:type="dxa" w:w="1206"/>
          </w:tcPr>
          <w:p>
            <w:r>
              <w:t>AddRS</w:t>
            </w:r>
          </w:p>
        </w:tc>
        <w:tc>
          <w:tcPr>
            <w:tcW w:type="dxa" w:w="1206"/>
          </w:tcPr>
          <w:p>
            <w:r>
              <w:t>1.225</w:t>
            </w:r>
          </w:p>
        </w:tc>
        <w:tc>
          <w:tcPr>
            <w:tcW w:type="dxa" w:w="1206"/>
          </w:tcPr>
          <w:p>
            <w:r>
              <w:t>[1.215, 1.235]</w:t>
            </w:r>
          </w:p>
        </w:tc>
        <w:tc>
          <w:tcPr>
            <w:tcW w:type="dxa" w:w="1206"/>
          </w:tcPr>
          <w:p>
            <w:r>
              <w:t>True</w:t>
            </w:r>
          </w:p>
        </w:tc>
        <w:tc>
          <w:tcPr>
            <w:tcW w:type="dxa" w:w="1206"/>
          </w:tcPr>
          <w:p>
            <w:r>
              <w:t>[1.207, 1.245]</w:t>
            </w:r>
          </w:p>
        </w:tc>
        <w:tc>
          <w:tcPr>
            <w:tcW w:type="dxa" w:w="1206"/>
          </w:tcPr>
          <w:p>
            <w:r>
              <w:t>True</w:t>
            </w:r>
          </w:p>
        </w:tc>
        <w:tc>
          <w:tcPr>
            <w:tcW w:type="dxa" w:w="1206"/>
          </w:tcPr>
          <w:p>
            <w:r>
              <w:t>[1.204, 1.248]</w:t>
            </w:r>
          </w:p>
        </w:tc>
        <w:tc>
          <w:tcPr>
            <w:tcW w:type="dxa" w:w="1206"/>
          </w:tcPr>
          <w:p>
            <w:r>
              <w:t>True</w:t>
            </w:r>
          </w:p>
        </w:tc>
      </w:tr>
      <w:tr>
        <w:tc>
          <w:tcPr>
            <w:tcW w:type="dxa" w:w="1206"/>
          </w:tcPr>
          <w:p>
            <w:r>
              <w:t>Close-to-close</w:t>
            </w:r>
          </w:p>
        </w:tc>
        <w:tc>
          <w:tcPr>
            <w:tcW w:type="dxa" w:w="1206"/>
          </w:tcPr>
          <w:p>
            <w:r>
              <w:t>1.000</w:t>
            </w:r>
          </w:p>
        </w:tc>
        <w:tc>
          <w:tcPr>
            <w:tcW w:type="dxa" w:w="1206"/>
          </w:tcPr>
          <w:p>
            <w:r>
              <w:t>[1.000, 1.000]</w:t>
            </w:r>
          </w:p>
        </w:tc>
        <w:tc>
          <w:tcPr>
            <w:tcW w:type="dxa" w:w="1206"/>
          </w:tcPr>
          <w:p>
            <w:r>
              <w:t>False</w:t>
            </w:r>
          </w:p>
        </w:tc>
        <w:tc>
          <w:tcPr>
            <w:tcW w:type="dxa" w:w="1206"/>
          </w:tcPr>
          <w:p>
            <w:r>
              <w:t>[1.000, 1.000]</w:t>
            </w:r>
          </w:p>
        </w:tc>
        <w:tc>
          <w:tcPr>
            <w:tcW w:type="dxa" w:w="1206"/>
          </w:tcPr>
          <w:p>
            <w:r>
              <w:t>False</w:t>
            </w:r>
          </w:p>
        </w:tc>
        <w:tc>
          <w:tcPr>
            <w:tcW w:type="dxa" w:w="1206"/>
          </w:tcPr>
          <w:p>
            <w:r>
              <w:t>[1.000, 1.000]</w:t>
            </w:r>
          </w:p>
        </w:tc>
        <w:tc>
          <w:tcPr>
            <w:tcW w:type="dxa" w:w="1206"/>
          </w:tcPr>
          <w:p>
            <w:r>
              <w:t>False</w:t>
            </w:r>
          </w:p>
        </w:tc>
      </w:tr>
      <w:tr>
        <w:tc>
          <w:tcPr>
            <w:tcW w:type="dxa" w:w="1206"/>
          </w:tcPr>
          <w:p>
            <w:r>
              <w:t>Yang-Zhang</w:t>
            </w:r>
          </w:p>
        </w:tc>
        <w:tc>
          <w:tcPr>
            <w:tcW w:type="dxa" w:w="1206"/>
          </w:tcPr>
          <w:p>
            <w:r>
              <w:t>1.280</w:t>
            </w:r>
          </w:p>
        </w:tc>
        <w:tc>
          <w:tcPr>
            <w:tcW w:type="dxa" w:w="1206"/>
          </w:tcPr>
          <w:p>
            <w:r>
              <w:t>[1.264, 1.297]</w:t>
            </w:r>
          </w:p>
        </w:tc>
        <w:tc>
          <w:tcPr>
            <w:tcW w:type="dxa" w:w="1206"/>
          </w:tcPr>
          <w:p>
            <w:r>
              <w:t>True</w:t>
            </w:r>
          </w:p>
        </w:tc>
        <w:tc>
          <w:tcPr>
            <w:tcW w:type="dxa" w:w="1206"/>
          </w:tcPr>
          <w:p>
            <w:r>
              <w:t>[1.258, 1.303]</w:t>
            </w:r>
          </w:p>
        </w:tc>
        <w:tc>
          <w:tcPr>
            <w:tcW w:type="dxa" w:w="1206"/>
          </w:tcPr>
          <w:p>
            <w:r>
              <w:t>True</w:t>
            </w:r>
          </w:p>
        </w:tc>
        <w:tc>
          <w:tcPr>
            <w:tcW w:type="dxa" w:w="1206"/>
          </w:tcPr>
          <w:p>
            <w:r>
              <w:t>[1.223, 1.355]</w:t>
            </w:r>
          </w:p>
        </w:tc>
        <w:tc>
          <w:tcPr>
            <w:tcW w:type="dxa" w:w="1206"/>
          </w:tcPr>
          <w:p>
            <w:r>
              <w:t>True</w:t>
            </w:r>
          </w:p>
        </w:tc>
      </w:tr>
    </w:tbl>
    <w:p/>
    <w:p>
      <w:pPr/>
      <w:r>
        <w:t>Table 16. Panel balance, calendar cross-check and staleness-threshold sensitivity.</w:t>
      </w:r>
    </w:p>
    <w:tbl>
      <w:tblPr>
        <w:tblStyle w:val="TableGrid"/>
        <w:tblW w:type="auto" w:w="0"/>
        <w:tblLook w:firstColumn="1" w:firstRow="1" w:lastColumn="0" w:lastRow="0" w:noHBand="0" w:noVBand="1" w:val="04A0"/>
      </w:tblPr>
      <w:tblGrid>
        <w:gridCol w:w="3216"/>
        <w:gridCol w:w="3216"/>
        <w:gridCol w:w="3216"/>
      </w:tblGrid>
      <w:tr>
        <w:trPr>
          <w:tblHeader/>
        </w:trPr>
        <w:tc>
          <w:tcPr>
            <w:tcW w:type="dxa" w:w="3216"/>
          </w:tcPr>
          <w:p>
            <w:r>
              <w:t>Check</w:t>
            </w:r>
          </w:p>
        </w:tc>
        <w:tc>
          <w:tcPr>
            <w:tcW w:type="dxa" w:w="3216"/>
          </w:tcPr>
          <w:p>
            <w:r>
              <w:t>Result</w:t>
            </w:r>
          </w:p>
        </w:tc>
        <w:tc>
          <w:tcPr>
            <w:tcW w:type="dxa" w:w="3216"/>
          </w:tcPr>
          <w:p>
            <w:r>
              <w:t>What it answers</w:t>
            </w:r>
          </w:p>
        </w:tc>
      </w:tr>
      <w:tr>
        <w:tc>
          <w:tcPr>
            <w:tcW w:type="dxa" w:w="3216"/>
          </w:tcPr>
          <w:p>
            <w:r>
              <w:t>Conditional panel balance (own listing window)</w:t>
            </w:r>
          </w:p>
        </w:tc>
        <w:tc>
          <w:tcPr>
            <w:tcW w:type="dxa" w:w="3216"/>
          </w:tcPr>
          <w:p>
            <w:r>
              <w:t>143,718 of 144,636 security-session cells observed (99.37%)</w:t>
            </w:r>
          </w:p>
        </w:tc>
        <w:tc>
          <w:tcPr>
            <w:tcW w:type="dxa" w:w="3216"/>
          </w:tcPr>
          <w:p>
            <w:r>
              <w:t>supports item 1: the equity panel is close to fully balanced once a security's own listing window is the denominator; most of the unconditional shortfall is securities not yet listed or already delisted, not missed trading</w:t>
            </w:r>
          </w:p>
        </w:tc>
      </w:tr>
      <w:tr>
        <w:tc>
          <w:tcPr>
            <w:tcW w:type="dxa" w:w="3216"/>
          </w:tcPr>
          <w:p>
            <w:r>
              <w:t>Detected calendar vs external session record</w:t>
            </w:r>
          </w:p>
        </w:tc>
        <w:tc>
          <w:tcPr>
            <w:tcW w:type="dxa" w:w="3216"/>
          </w:tcPr>
          <w:p>
            <w:r>
              <w:t>829 of 831 dates agree (99.8%)</w:t>
            </w:r>
          </w:p>
        </w:tc>
        <w:tc>
          <w:tcPr>
            <w:tcW w:type="dxa" w:w="3216"/>
          </w:tcPr>
          <w:p>
            <w:r>
              <w:t>supports item 8: the data-detected trading calendar is cross-checked against an independent session record rather than asserted</w:t>
            </w:r>
          </w:p>
        </w:tc>
      </w:tr>
      <w:tr>
        <w:tc>
          <w:tcPr>
            <w:tcW w:type="dxa" w:w="3216"/>
          </w:tcPr>
          <w:p>
            <w:r>
              <w:t>Staleness-threshold sensitivity</w:t>
            </w:r>
          </w:p>
        </w:tc>
        <w:tc>
          <w:tcPr>
            <w:tcW w:type="dxa" w:w="3216"/>
          </w:tcPr>
          <w:p>
            <w:r>
              <w:t>569-569 detected sessions across thresholds 0.1-0.999</w:t>
            </w:r>
          </w:p>
        </w:tc>
        <w:tc>
          <w:tcPr>
            <w:tcW w:type="dxa" w:w="3216"/>
          </w:tcPr>
          <w:p>
            <w:r>
              <w:t>supports item 8: the session count is unchanged across the full range of plausible staleness thresholds, so the 90% default is not doing hidden work</w:t>
            </w:r>
          </w:p>
        </w:tc>
      </w:tr>
    </w:tbl>
    <w:p/>
    <w:p>
      <w:pPr/>
      <w:r>
        <w:t>Table 17. Master-coverage sensitivity: headline ordinary-equity statistics including versus excluding the ten securities absent from the external security master.</w:t>
      </w:r>
    </w:p>
    <w:tbl>
      <w:tblPr>
        <w:tblStyle w:val="TableGrid"/>
        <w:tblW w:type="auto" w:w="0"/>
        <w:tblLook w:firstColumn="1" w:firstRow="1" w:lastColumn="0" w:lastRow="0" w:noHBand="0" w:noVBand="1" w:val="04A0"/>
      </w:tblPr>
      <w:tblGrid>
        <w:gridCol w:w="1930"/>
        <w:gridCol w:w="1930"/>
        <w:gridCol w:w="1930"/>
        <w:gridCol w:w="1930"/>
        <w:gridCol w:w="1930"/>
      </w:tblGrid>
      <w:tr>
        <w:trPr>
          <w:tblHeader/>
        </w:trPr>
        <w:tc>
          <w:tcPr>
            <w:tcW w:type="dxa" w:w="1930"/>
          </w:tcPr>
          <w:p>
            <w:r>
              <w:t>Specification</w:t>
            </w:r>
          </w:p>
        </w:tc>
        <w:tc>
          <w:tcPr>
            <w:tcW w:type="dxa" w:w="1930"/>
          </w:tcPr>
          <w:p>
            <w:r>
              <w:t>Securities</w:t>
            </w:r>
          </w:p>
        </w:tc>
        <w:tc>
          <w:tcPr>
            <w:tcW w:type="dxa" w:w="1930"/>
          </w:tcPr>
          <w:p>
            <w:r>
              <w:t>Stock-days</w:t>
            </w:r>
          </w:p>
        </w:tc>
        <w:tc>
          <w:tcPr>
            <w:tcW w:type="dxa" w:w="1930"/>
          </w:tcPr>
          <w:p>
            <w:r>
              <w:t>Zero-range rate</w:t>
            </w:r>
          </w:p>
        </w:tc>
        <w:tc>
          <w:tcPr>
            <w:tcW w:type="dxa" w:w="1930"/>
          </w:tcPr>
          <w:p>
            <w:r>
              <w:t>Parkinson: SD ratio to matched proxy</w:t>
            </w:r>
          </w:p>
        </w:tc>
      </w:tr>
      <w:tr>
        <w:tc>
          <w:tcPr>
            <w:tcW w:type="dxa" w:w="1930"/>
          </w:tcPr>
          <w:p>
            <w:r>
              <w:t>All ordinary equity (including the 10 securities absent from the master)</w:t>
            </w:r>
          </w:p>
        </w:tc>
        <w:tc>
          <w:tcPr>
            <w:tcW w:type="dxa" w:w="1930"/>
          </w:tcPr>
          <w:p>
            <w:r>
              <w:t>292</w:t>
            </w:r>
          </w:p>
        </w:tc>
        <w:tc>
          <w:tcPr>
            <w:tcW w:type="dxa" w:w="1930"/>
          </w:tcPr>
          <w:p>
            <w:r>
              <w:t>143,718</w:t>
            </w:r>
          </w:p>
        </w:tc>
        <w:tc>
          <w:tcPr>
            <w:tcW w:type="dxa" w:w="1930"/>
          </w:tcPr>
          <w:p>
            <w:r>
              <w:t>0.278%</w:t>
            </w:r>
          </w:p>
        </w:tc>
        <w:tc>
          <w:tcPr>
            <w:tcW w:type="dxa" w:w="1930"/>
          </w:tcPr>
          <w:p>
            <w:r>
              <w:t>1.0005</w:t>
            </w:r>
          </w:p>
        </w:tc>
      </w:tr>
      <w:tr>
        <w:tc>
          <w:tcPr>
            <w:tcW w:type="dxa" w:w="1930"/>
          </w:tcPr>
          <w:p>
            <w:r>
              <w:t>Excluding the 10 securities absent from the master</w:t>
            </w:r>
          </w:p>
        </w:tc>
        <w:tc>
          <w:tcPr>
            <w:tcW w:type="dxa" w:w="1930"/>
          </w:tcPr>
          <w:p>
            <w:r>
              <w:t>282</w:t>
            </w:r>
          </w:p>
        </w:tc>
        <w:tc>
          <w:tcPr>
            <w:tcW w:type="dxa" w:w="1930"/>
          </w:tcPr>
          <w:p>
            <w:r>
              <w:t>142,391</w:t>
            </w:r>
          </w:p>
        </w:tc>
        <w:tc>
          <w:tcPr>
            <w:tcW w:type="dxa" w:w="1930"/>
          </w:tcPr>
          <w:p>
            <w:r>
              <w:t>0.279%</w:t>
            </w:r>
          </w:p>
        </w:tc>
        <w:tc>
          <w:tcPr>
            <w:tcW w:type="dxa" w:w="1930"/>
          </w:tcPr>
          <w:p>
            <w:r>
              <w:t>1.0008</w:t>
            </w:r>
          </w:p>
        </w:tc>
      </w:tr>
    </w:tbl>
    <w:p/>
    <w:p>
      <w:pPr/>
      <w:r>
        <w:t>Table 18. Equivalence verdicts across the margin grid and both confidence levels. The margin is declared post hoc, so verdicts are reported at ±2.5%, ±5% and ±10%; the 95% interval is a conservative criterion and the 90% interval is textbook TOST.</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trPr>
        <w:tc>
          <w:tcPr>
            <w:tcW w:type="dxa" w:w="1608"/>
          </w:tcPr>
          <w:p>
            <w:r>
              <w:t>Estimator</w:t>
            </w:r>
          </w:p>
        </w:tc>
        <w:tc>
          <w:tcPr>
            <w:tcW w:type="dxa" w:w="1608"/>
          </w:tcPr>
          <w:p>
            <w:r>
              <w:t>Interval</w:t>
            </w:r>
          </w:p>
        </w:tc>
        <w:tc>
          <w:tcPr>
            <w:tcW w:type="dxa" w:w="1608"/>
          </w:tcPr>
          <w:p>
            <w:r>
              <w:t>SD ratio to matched proxy</w:t>
            </w:r>
          </w:p>
        </w:tc>
        <w:tc>
          <w:tcPr>
            <w:tcW w:type="dxa" w:w="1608"/>
          </w:tcPr>
          <w:p>
            <w:r>
              <w:t>Verdict at ±2.5%</w:t>
            </w:r>
          </w:p>
        </w:tc>
        <w:tc>
          <w:tcPr>
            <w:tcW w:type="dxa" w:w="1608"/>
          </w:tcPr>
          <w:p>
            <w:r>
              <w:t>Verdict at ±5%</w:t>
            </w:r>
          </w:p>
        </w:tc>
        <w:tc>
          <w:tcPr>
            <w:tcW w:type="dxa" w:w="1608"/>
          </w:tcPr>
          <w:p>
            <w:r>
              <w:t>Verdict at ±10%</w:t>
            </w:r>
          </w:p>
        </w:tc>
      </w:tr>
      <w:tr>
        <w:tc>
          <w:tcPr>
            <w:tcW w:type="dxa" w:w="1608"/>
          </w:tcPr>
          <w:p>
            <w:r>
              <w:t>Parkinson</w:t>
            </w:r>
          </w:p>
        </w:tc>
        <w:tc>
          <w:tcPr>
            <w:tcW w:type="dxa" w:w="1608"/>
          </w:tcPr>
          <w:p>
            <w:r>
              <w:t>95% (conservative)</w:t>
            </w:r>
          </w:p>
        </w:tc>
        <w:tc>
          <w:tcPr>
            <w:tcW w:type="dxa" w:w="1608"/>
          </w:tcPr>
          <w:p>
            <w:r>
              <w:t>1.001</w:t>
            </w:r>
          </w:p>
        </w:tc>
        <w:tc>
          <w:tcPr>
            <w:tcW w:type="dxa" w:w="1608"/>
          </w:tcPr>
          <w:p>
            <w:r>
              <w:t>equivalent</w:t>
            </w:r>
          </w:p>
        </w:tc>
        <w:tc>
          <w:tcPr>
            <w:tcW w:type="dxa" w:w="1608"/>
          </w:tcPr>
          <w:p>
            <w:r>
              <w:t>equivalent</w:t>
            </w:r>
          </w:p>
        </w:tc>
        <w:tc>
          <w:tcPr>
            <w:tcW w:type="dxa" w:w="1608"/>
          </w:tcPr>
          <w:p>
            <w:r>
              <w:t>equivalent</w:t>
            </w:r>
          </w:p>
        </w:tc>
      </w:tr>
      <w:tr>
        <w:tc>
          <w:tcPr>
            <w:tcW w:type="dxa" w:w="1608"/>
          </w:tcPr>
          <w:p>
            <w:r>
              <w:t>Parkinson</w:t>
            </w:r>
          </w:p>
        </w:tc>
        <w:tc>
          <w:tcPr>
            <w:tcW w:type="dxa" w:w="1608"/>
          </w:tcPr>
          <w:p>
            <w:r>
              <w:t>90% (textbook TOST, one-sided alpha=.05)</w:t>
            </w:r>
          </w:p>
        </w:tc>
        <w:tc>
          <w:tcPr>
            <w:tcW w:type="dxa" w:w="1608"/>
          </w:tcPr>
          <w:p>
            <w:r>
              <w:t>1.001</w:t>
            </w:r>
          </w:p>
        </w:tc>
        <w:tc>
          <w:tcPr>
            <w:tcW w:type="dxa" w:w="1608"/>
          </w:tcPr>
          <w:p>
            <w:r>
              <w:t>equivalent</w:t>
            </w:r>
          </w:p>
        </w:tc>
        <w:tc>
          <w:tcPr>
            <w:tcW w:type="dxa" w:w="1608"/>
          </w:tcPr>
          <w:p>
            <w:r>
              <w:t>equivalent</w:t>
            </w:r>
          </w:p>
        </w:tc>
        <w:tc>
          <w:tcPr>
            <w:tcW w:type="dxa" w:w="1608"/>
          </w:tcPr>
          <w:p>
            <w:r>
              <w:t>equivalent</w:t>
            </w:r>
          </w:p>
        </w:tc>
      </w:tr>
      <w:tr>
        <w:tc>
          <w:tcPr>
            <w:tcW w:type="dxa" w:w="1608"/>
          </w:tcPr>
          <w:p>
            <w:r>
              <w:t>Garman-Klass</w:t>
            </w:r>
          </w:p>
        </w:tc>
        <w:tc>
          <w:tcPr>
            <w:tcW w:type="dxa" w:w="1608"/>
          </w:tcPr>
          <w:p>
            <w:r>
              <w:t>95% (conservative)</w:t>
            </w:r>
          </w:p>
        </w:tc>
        <w:tc>
          <w:tcPr>
            <w:tcW w:type="dxa" w:w="1608"/>
          </w:tcPr>
          <w:p>
            <w:r>
              <w:t>1.001</w:t>
            </w:r>
          </w:p>
        </w:tc>
        <w:tc>
          <w:tcPr>
            <w:tcW w:type="dxa" w:w="1608"/>
          </w:tcPr>
          <w:p>
            <w:r>
              <w:t>inconclusive</w:t>
            </w:r>
          </w:p>
        </w:tc>
        <w:tc>
          <w:tcPr>
            <w:tcW w:type="dxa" w:w="1608"/>
          </w:tcPr>
          <w:p>
            <w:r>
              <w:t>equivalent</w:t>
            </w:r>
          </w:p>
        </w:tc>
        <w:tc>
          <w:tcPr>
            <w:tcW w:type="dxa" w:w="1608"/>
          </w:tcPr>
          <w:p>
            <w:r>
              <w:t>equivalent</w:t>
            </w:r>
          </w:p>
        </w:tc>
      </w:tr>
      <w:tr>
        <w:tc>
          <w:tcPr>
            <w:tcW w:type="dxa" w:w="1608"/>
          </w:tcPr>
          <w:p>
            <w:r>
              <w:t>Garman-Klass</w:t>
            </w:r>
          </w:p>
        </w:tc>
        <w:tc>
          <w:tcPr>
            <w:tcW w:type="dxa" w:w="1608"/>
          </w:tcPr>
          <w:p>
            <w:r>
              <w:t>90% (textbook TOST, one-sided alpha=.05)</w:t>
            </w:r>
          </w:p>
        </w:tc>
        <w:tc>
          <w:tcPr>
            <w:tcW w:type="dxa" w:w="1608"/>
          </w:tcPr>
          <w:p>
            <w:r>
              <w:t>1.001</w:t>
            </w:r>
          </w:p>
        </w:tc>
        <w:tc>
          <w:tcPr>
            <w:tcW w:type="dxa" w:w="1608"/>
          </w:tcPr>
          <w:p>
            <w:r>
              <w:t>inconclusive</w:t>
            </w:r>
          </w:p>
        </w:tc>
        <w:tc>
          <w:tcPr>
            <w:tcW w:type="dxa" w:w="1608"/>
          </w:tcPr>
          <w:p>
            <w:r>
              <w:t>equivalent</w:t>
            </w:r>
          </w:p>
        </w:tc>
        <w:tc>
          <w:tcPr>
            <w:tcW w:type="dxa" w:w="1608"/>
          </w:tcPr>
          <w:p>
            <w:r>
              <w:t>equivalent</w:t>
            </w:r>
          </w:p>
        </w:tc>
      </w:tr>
      <w:tr>
        <w:tc>
          <w:tcPr>
            <w:tcW w:type="dxa" w:w="1608"/>
          </w:tcPr>
          <w:p>
            <w:r>
              <w:t>Rogers-Satchell</w:t>
            </w:r>
          </w:p>
        </w:tc>
        <w:tc>
          <w:tcPr>
            <w:tcW w:type="dxa" w:w="1608"/>
          </w:tcPr>
          <w:p>
            <w:r>
              <w:t>95% (conservative)</w:t>
            </w:r>
          </w:p>
        </w:tc>
        <w:tc>
          <w:tcPr>
            <w:tcW w:type="dxa" w:w="1608"/>
          </w:tcPr>
          <w:p>
            <w:r>
              <w:t>1.037</w:t>
            </w:r>
          </w:p>
        </w:tc>
        <w:tc>
          <w:tcPr>
            <w:tcW w:type="dxa" w:w="1608"/>
          </w:tcPr>
          <w:p>
            <w:r>
              <w:t>inconclusive</w:t>
            </w:r>
          </w:p>
        </w:tc>
        <w:tc>
          <w:tcPr>
            <w:tcW w:type="dxa" w:w="1608"/>
          </w:tcPr>
          <w:p>
            <w:r>
              <w:t>inconclusive</w:t>
            </w:r>
          </w:p>
        </w:tc>
        <w:tc>
          <w:tcPr>
            <w:tcW w:type="dxa" w:w="1608"/>
          </w:tcPr>
          <w:p>
            <w:r>
              <w:t>equivalent</w:t>
            </w:r>
          </w:p>
        </w:tc>
      </w:tr>
      <w:tr>
        <w:tc>
          <w:tcPr>
            <w:tcW w:type="dxa" w:w="1608"/>
          </w:tcPr>
          <w:p>
            <w:r>
              <w:t>Rogers-Satchell</w:t>
            </w:r>
          </w:p>
        </w:tc>
        <w:tc>
          <w:tcPr>
            <w:tcW w:type="dxa" w:w="1608"/>
          </w:tcPr>
          <w:p>
            <w:r>
              <w:t>90% (textbook TOST, one-sided alpha=.05)</w:t>
            </w:r>
          </w:p>
        </w:tc>
        <w:tc>
          <w:tcPr>
            <w:tcW w:type="dxa" w:w="1608"/>
          </w:tcPr>
          <w:p>
            <w:r>
              <w:t>1.037</w:t>
            </w:r>
          </w:p>
        </w:tc>
        <w:tc>
          <w:tcPr>
            <w:tcW w:type="dxa" w:w="1608"/>
          </w:tcPr>
          <w:p>
            <w:r>
              <w:t>inconclusive</w:t>
            </w:r>
          </w:p>
        </w:tc>
        <w:tc>
          <w:tcPr>
            <w:tcW w:type="dxa" w:w="1608"/>
          </w:tcPr>
          <w:p>
            <w:r>
              <w:t>inconclusive</w:t>
            </w:r>
          </w:p>
        </w:tc>
        <w:tc>
          <w:tcPr>
            <w:tcW w:type="dxa" w:w="1608"/>
          </w:tcPr>
          <w:p>
            <w:r>
              <w:t>equivalent</w:t>
            </w:r>
          </w:p>
        </w:tc>
      </w:tr>
      <w:tr>
        <w:tc>
          <w:tcPr>
            <w:tcW w:type="dxa" w:w="1608"/>
          </w:tcPr>
          <w:p>
            <w:r>
              <w:t>AddRS</w:t>
            </w:r>
          </w:p>
        </w:tc>
        <w:tc>
          <w:tcPr>
            <w:tcW w:type="dxa" w:w="1608"/>
          </w:tcPr>
          <w:p>
            <w:r>
              <w:t>95% (conservative)</w:t>
            </w:r>
          </w:p>
        </w:tc>
        <w:tc>
          <w:tcPr>
            <w:tcW w:type="dxa" w:w="1608"/>
          </w:tcPr>
          <w:p>
            <w:r>
              <w:t>1.225</w:t>
            </w:r>
          </w:p>
        </w:tc>
        <w:tc>
          <w:tcPr>
            <w:tcW w:type="dxa" w:w="1608"/>
          </w:tcPr>
          <w:p>
            <w:r>
              <w:t>different</w:t>
            </w:r>
          </w:p>
        </w:tc>
        <w:tc>
          <w:tcPr>
            <w:tcW w:type="dxa" w:w="1608"/>
          </w:tcPr>
          <w:p>
            <w:r>
              <w:t>different</w:t>
            </w:r>
          </w:p>
        </w:tc>
        <w:tc>
          <w:tcPr>
            <w:tcW w:type="dxa" w:w="1608"/>
          </w:tcPr>
          <w:p>
            <w:r>
              <w:t>different</w:t>
            </w:r>
          </w:p>
        </w:tc>
      </w:tr>
      <w:tr>
        <w:tc>
          <w:tcPr>
            <w:tcW w:type="dxa" w:w="1608"/>
          </w:tcPr>
          <w:p>
            <w:r>
              <w:t>AddRS</w:t>
            </w:r>
          </w:p>
        </w:tc>
        <w:tc>
          <w:tcPr>
            <w:tcW w:type="dxa" w:w="1608"/>
          </w:tcPr>
          <w:p>
            <w:r>
              <w:t>90% (textbook TOST, one-sided alpha=.05)</w:t>
            </w:r>
          </w:p>
        </w:tc>
        <w:tc>
          <w:tcPr>
            <w:tcW w:type="dxa" w:w="1608"/>
          </w:tcPr>
          <w:p>
            <w:r>
              <w:t>1.225</w:t>
            </w:r>
          </w:p>
        </w:tc>
        <w:tc>
          <w:tcPr>
            <w:tcW w:type="dxa" w:w="1608"/>
          </w:tcPr>
          <w:p>
            <w:r>
              <w:t>different</w:t>
            </w:r>
          </w:p>
        </w:tc>
        <w:tc>
          <w:tcPr>
            <w:tcW w:type="dxa" w:w="1608"/>
          </w:tcPr>
          <w:p>
            <w:r>
              <w:t>different</w:t>
            </w:r>
          </w:p>
        </w:tc>
        <w:tc>
          <w:tcPr>
            <w:tcW w:type="dxa" w:w="1608"/>
          </w:tcPr>
          <w:p>
            <w:r>
              <w:t>different</w:t>
            </w:r>
          </w:p>
        </w:tc>
      </w:tr>
      <w:tr>
        <w:tc>
          <w:tcPr>
            <w:tcW w:type="dxa" w:w="1608"/>
          </w:tcPr>
          <w:p>
            <w:r>
              <w:t>Close-to-close</w:t>
            </w:r>
          </w:p>
        </w:tc>
        <w:tc>
          <w:tcPr>
            <w:tcW w:type="dxa" w:w="1608"/>
          </w:tcPr>
          <w:p>
            <w:r>
              <w:t>95% (conservative)</w:t>
            </w:r>
          </w:p>
        </w:tc>
        <w:tc>
          <w:tcPr>
            <w:tcW w:type="dxa" w:w="1608"/>
          </w:tcPr>
          <w:p>
            <w:r>
              <w:t>1.000</w:t>
            </w:r>
          </w:p>
        </w:tc>
        <w:tc>
          <w:tcPr>
            <w:tcW w:type="dxa" w:w="1608"/>
          </w:tcPr>
          <w:p>
            <w:r>
              <w:t>equivalent</w:t>
            </w:r>
          </w:p>
        </w:tc>
        <w:tc>
          <w:tcPr>
            <w:tcW w:type="dxa" w:w="1608"/>
          </w:tcPr>
          <w:p>
            <w:r>
              <w:t>equivalent</w:t>
            </w:r>
          </w:p>
        </w:tc>
        <w:tc>
          <w:tcPr>
            <w:tcW w:type="dxa" w:w="1608"/>
          </w:tcPr>
          <w:p>
            <w:r>
              <w:t>equivalent</w:t>
            </w:r>
          </w:p>
        </w:tc>
      </w:tr>
      <w:tr>
        <w:tc>
          <w:tcPr>
            <w:tcW w:type="dxa" w:w="1608"/>
          </w:tcPr>
          <w:p>
            <w:r>
              <w:t>Close-to-close</w:t>
            </w:r>
          </w:p>
        </w:tc>
        <w:tc>
          <w:tcPr>
            <w:tcW w:type="dxa" w:w="1608"/>
          </w:tcPr>
          <w:p>
            <w:r>
              <w:t>90% (textbook TOST, one-sided alpha=.05)</w:t>
            </w:r>
          </w:p>
        </w:tc>
        <w:tc>
          <w:tcPr>
            <w:tcW w:type="dxa" w:w="1608"/>
          </w:tcPr>
          <w:p>
            <w:r>
              <w:t>1.000</w:t>
            </w:r>
          </w:p>
        </w:tc>
        <w:tc>
          <w:tcPr>
            <w:tcW w:type="dxa" w:w="1608"/>
          </w:tcPr>
          <w:p>
            <w:r>
              <w:t>equivalent</w:t>
            </w:r>
          </w:p>
        </w:tc>
        <w:tc>
          <w:tcPr>
            <w:tcW w:type="dxa" w:w="1608"/>
          </w:tcPr>
          <w:p>
            <w:r>
              <w:t>equivalent</w:t>
            </w:r>
          </w:p>
        </w:tc>
        <w:tc>
          <w:tcPr>
            <w:tcW w:type="dxa" w:w="1608"/>
          </w:tcPr>
          <w:p>
            <w:r>
              <w:t>equivalent</w:t>
            </w:r>
          </w:p>
        </w:tc>
      </w:tr>
      <w:tr>
        <w:tc>
          <w:tcPr>
            <w:tcW w:type="dxa" w:w="1608"/>
          </w:tcPr>
          <w:p>
            <w:r>
              <w:t>Yang-Zhang</w:t>
            </w:r>
          </w:p>
        </w:tc>
        <w:tc>
          <w:tcPr>
            <w:tcW w:type="dxa" w:w="1608"/>
          </w:tcPr>
          <w:p>
            <w:r>
              <w:t>95% (conservative)</w:t>
            </w:r>
          </w:p>
        </w:tc>
        <w:tc>
          <w:tcPr>
            <w:tcW w:type="dxa" w:w="1608"/>
          </w:tcPr>
          <w:p>
            <w:r>
              <w:t>1.280</w:t>
            </w:r>
          </w:p>
        </w:tc>
        <w:tc>
          <w:tcPr>
            <w:tcW w:type="dxa" w:w="1608"/>
          </w:tcPr>
          <w:p>
            <w:r>
              <w:t>different</w:t>
            </w:r>
          </w:p>
        </w:tc>
        <w:tc>
          <w:tcPr>
            <w:tcW w:type="dxa" w:w="1608"/>
          </w:tcPr>
          <w:p>
            <w:r>
              <w:t>different</w:t>
            </w:r>
          </w:p>
        </w:tc>
        <w:tc>
          <w:tcPr>
            <w:tcW w:type="dxa" w:w="1608"/>
          </w:tcPr>
          <w:p>
            <w:r>
              <w:t>different</w:t>
            </w:r>
          </w:p>
        </w:tc>
      </w:tr>
      <w:tr>
        <w:tc>
          <w:tcPr>
            <w:tcW w:type="dxa" w:w="1608"/>
          </w:tcPr>
          <w:p>
            <w:r>
              <w:t>Yang-Zhang</w:t>
            </w:r>
          </w:p>
        </w:tc>
        <w:tc>
          <w:tcPr>
            <w:tcW w:type="dxa" w:w="1608"/>
          </w:tcPr>
          <w:p>
            <w:r>
              <w:t>90% (textbook TOST, one-sided alpha=.05)</w:t>
            </w:r>
          </w:p>
        </w:tc>
        <w:tc>
          <w:tcPr>
            <w:tcW w:type="dxa" w:w="1608"/>
          </w:tcPr>
          <w:p>
            <w:r>
              <w:t>1.280</w:t>
            </w:r>
          </w:p>
        </w:tc>
        <w:tc>
          <w:tcPr>
            <w:tcW w:type="dxa" w:w="1608"/>
          </w:tcPr>
          <w:p>
            <w:r>
              <w:t>different</w:t>
            </w:r>
          </w:p>
        </w:tc>
        <w:tc>
          <w:tcPr>
            <w:tcW w:type="dxa" w:w="1608"/>
          </w:tcPr>
          <w:p>
            <w:r>
              <w:t>different</w:t>
            </w:r>
          </w:p>
        </w:tc>
        <w:tc>
          <w:tcPr>
            <w:tcW w:type="dxa" w:w="1608"/>
          </w:tcPr>
          <w:p>
            <w:r>
              <w:t>different</w:t>
            </w:r>
          </w:p>
        </w:tc>
      </w:tr>
    </w:tbl>
    <w:p/>
    <w:p>
      <w:pPr/>
      <w:r>
        <w:t>Table 19. What the headline estimand weights: stock-day-weighted ratio against equal-security aggregation and the security-level spread, for all six estimators.</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tcPr>
          <w:p>
            <w:r>
              <w:t>Estimator</w:t>
            </w:r>
          </w:p>
        </w:tc>
        <w:tc>
          <w:tcPr>
            <w:tcW w:type="dxa" w:w="1378"/>
          </w:tcPr>
          <w:p>
            <w:r>
              <w:t>Securities</w:t>
            </w:r>
          </w:p>
        </w:tc>
        <w:tc>
          <w:tcPr>
            <w:tcW w:type="dxa" w:w="1378"/>
          </w:tcPr>
          <w:p>
            <w:r>
              <w:t>Stock-days</w:t>
            </w:r>
          </w:p>
        </w:tc>
        <w:tc>
          <w:tcPr>
            <w:tcW w:type="dxa" w:w="1378"/>
          </w:tcPr>
          <w:p>
            <w:r>
              <w:t>Stock-day weighted (primary)</w:t>
            </w:r>
          </w:p>
        </w:tc>
        <w:tc>
          <w:tcPr>
            <w:tcW w:type="dxa" w:w="1378"/>
          </w:tcPr>
          <w:p>
            <w:r>
              <w:t>Equal-security mean</w:t>
            </w:r>
          </w:p>
        </w:tc>
        <w:tc>
          <w:tcPr>
            <w:tcW w:type="dxa" w:w="1378"/>
          </w:tcPr>
          <w:p>
            <w:r>
              <w:t>Equal-security median</w:t>
            </w:r>
          </w:p>
        </w:tc>
        <w:tc>
          <w:tcPr>
            <w:tcW w:type="dxa" w:w="1378"/>
          </w:tcPr>
          <w:p>
            <w:r>
              <w:t>Security-level 5th-95th percentile</w:t>
            </w:r>
          </w:p>
        </w:tc>
      </w:tr>
      <w:tr>
        <w:tc>
          <w:tcPr>
            <w:tcW w:type="dxa" w:w="1378"/>
          </w:tcPr>
          <w:p>
            <w:r>
              <w:t>Parkinson</w:t>
            </w:r>
          </w:p>
        </w:tc>
        <w:tc>
          <w:tcPr>
            <w:tcW w:type="dxa" w:w="1378"/>
          </w:tcPr>
          <w:p>
            <w:r>
              <w:t>292</w:t>
            </w:r>
          </w:p>
        </w:tc>
        <w:tc>
          <w:tcPr>
            <w:tcW w:type="dxa" w:w="1378"/>
          </w:tcPr>
          <w:p>
            <w:r>
              <w:t>143,718</w:t>
            </w:r>
          </w:p>
        </w:tc>
        <w:tc>
          <w:tcPr>
            <w:tcW w:type="dxa" w:w="1378"/>
          </w:tcPr>
          <w:p>
            <w:r>
              <w:t>1.001</w:t>
            </w:r>
          </w:p>
        </w:tc>
        <w:tc>
          <w:tcPr>
            <w:tcW w:type="dxa" w:w="1378"/>
          </w:tcPr>
          <w:p>
            <w:r>
              <w:t>0.989</w:t>
            </w:r>
          </w:p>
        </w:tc>
        <w:tc>
          <w:tcPr>
            <w:tcW w:type="dxa" w:w="1378"/>
          </w:tcPr>
          <w:p>
            <w:r>
              <w:t>1.002</w:t>
            </w:r>
          </w:p>
        </w:tc>
        <w:tc>
          <w:tcPr>
            <w:tcW w:type="dxa" w:w="1378"/>
          </w:tcPr>
          <w:p>
            <w:r>
              <w:t>[0.816, 1.108]</w:t>
            </w:r>
          </w:p>
        </w:tc>
      </w:tr>
      <w:tr>
        <w:tc>
          <w:tcPr>
            <w:tcW w:type="dxa" w:w="1378"/>
          </w:tcPr>
          <w:p>
            <w:r>
              <w:t>Garman-Klass</w:t>
            </w:r>
          </w:p>
        </w:tc>
        <w:tc>
          <w:tcPr>
            <w:tcW w:type="dxa" w:w="1378"/>
          </w:tcPr>
          <w:p>
            <w:r>
              <w:t>292</w:t>
            </w:r>
          </w:p>
        </w:tc>
        <w:tc>
          <w:tcPr>
            <w:tcW w:type="dxa" w:w="1378"/>
          </w:tcPr>
          <w:p>
            <w:r>
              <w:t>143,718</w:t>
            </w:r>
          </w:p>
        </w:tc>
        <w:tc>
          <w:tcPr>
            <w:tcW w:type="dxa" w:w="1378"/>
          </w:tcPr>
          <w:p>
            <w:r>
              <w:t>1.001</w:t>
            </w:r>
          </w:p>
        </w:tc>
        <w:tc>
          <w:tcPr>
            <w:tcW w:type="dxa" w:w="1378"/>
          </w:tcPr>
          <w:p>
            <w:r>
              <w:t>0.981</w:t>
            </w:r>
          </w:p>
        </w:tc>
        <w:tc>
          <w:tcPr>
            <w:tcW w:type="dxa" w:w="1378"/>
          </w:tcPr>
          <w:p>
            <w:r>
              <w:t>1.003</w:t>
            </w:r>
          </w:p>
        </w:tc>
        <w:tc>
          <w:tcPr>
            <w:tcW w:type="dxa" w:w="1378"/>
          </w:tcPr>
          <w:p>
            <w:r>
              <w:t>[0.733, 1.147]</w:t>
            </w:r>
          </w:p>
        </w:tc>
      </w:tr>
      <w:tr>
        <w:tc>
          <w:tcPr>
            <w:tcW w:type="dxa" w:w="1378"/>
          </w:tcPr>
          <w:p>
            <w:r>
              <w:t>Rogers-Satchell</w:t>
            </w:r>
          </w:p>
        </w:tc>
        <w:tc>
          <w:tcPr>
            <w:tcW w:type="dxa" w:w="1378"/>
          </w:tcPr>
          <w:p>
            <w:r>
              <w:t>292</w:t>
            </w:r>
          </w:p>
        </w:tc>
        <w:tc>
          <w:tcPr>
            <w:tcW w:type="dxa" w:w="1378"/>
          </w:tcPr>
          <w:p>
            <w:r>
              <w:t>143,718</w:t>
            </w:r>
          </w:p>
        </w:tc>
        <w:tc>
          <w:tcPr>
            <w:tcW w:type="dxa" w:w="1378"/>
          </w:tcPr>
          <w:p>
            <w:r>
              <w:t>1.037</w:t>
            </w:r>
          </w:p>
        </w:tc>
        <w:tc>
          <w:tcPr>
            <w:tcW w:type="dxa" w:w="1378"/>
          </w:tcPr>
          <w:p>
            <w:r>
              <w:t>1.010</w:t>
            </w:r>
          </w:p>
        </w:tc>
        <w:tc>
          <w:tcPr>
            <w:tcW w:type="dxa" w:w="1378"/>
          </w:tcPr>
          <w:p>
            <w:r>
              <w:t>1.034</w:t>
            </w:r>
          </w:p>
        </w:tc>
        <w:tc>
          <w:tcPr>
            <w:tcW w:type="dxa" w:w="1378"/>
          </w:tcPr>
          <w:p>
            <w:r>
              <w:t>[0.709, 1.217]</w:t>
            </w:r>
          </w:p>
        </w:tc>
      </w:tr>
      <w:tr>
        <w:tc>
          <w:tcPr>
            <w:tcW w:type="dxa" w:w="1378"/>
          </w:tcPr>
          <w:p>
            <w:r>
              <w:t>AddRS</w:t>
            </w:r>
          </w:p>
        </w:tc>
        <w:tc>
          <w:tcPr>
            <w:tcW w:type="dxa" w:w="1378"/>
          </w:tcPr>
          <w:p>
            <w:r>
              <w:t>292</w:t>
            </w:r>
          </w:p>
        </w:tc>
        <w:tc>
          <w:tcPr>
            <w:tcW w:type="dxa" w:w="1378"/>
          </w:tcPr>
          <w:p>
            <w:r>
              <w:t>143,718</w:t>
            </w:r>
          </w:p>
        </w:tc>
        <w:tc>
          <w:tcPr>
            <w:tcW w:type="dxa" w:w="1378"/>
          </w:tcPr>
          <w:p>
            <w:r>
              <w:t>1.225</w:t>
            </w:r>
          </w:p>
        </w:tc>
        <w:tc>
          <w:tcPr>
            <w:tcW w:type="dxa" w:w="1378"/>
          </w:tcPr>
          <w:p>
            <w:r>
              <w:t>1.214</w:t>
            </w:r>
          </w:p>
        </w:tc>
        <w:tc>
          <w:tcPr>
            <w:tcW w:type="dxa" w:w="1378"/>
          </w:tcPr>
          <w:p>
            <w:r>
              <w:t>1.216</w:t>
            </w:r>
          </w:p>
        </w:tc>
        <w:tc>
          <w:tcPr>
            <w:tcW w:type="dxa" w:w="1378"/>
          </w:tcPr>
          <w:p>
            <w:r>
              <w:t>[1.071, 1.374]</w:t>
            </w:r>
          </w:p>
        </w:tc>
      </w:tr>
      <w:tr>
        <w:tc>
          <w:tcPr>
            <w:tcW w:type="dxa" w:w="1378"/>
          </w:tcPr>
          <w:p>
            <w:r>
              <w:t>Close-to-close</w:t>
            </w:r>
          </w:p>
        </w:tc>
        <w:tc>
          <w:tcPr>
            <w:tcW w:type="dxa" w:w="1378"/>
          </w:tcPr>
          <w:p>
            <w:r>
              <w:t>291</w:t>
            </w:r>
          </w:p>
        </w:tc>
        <w:tc>
          <w:tcPr>
            <w:tcW w:type="dxa" w:w="1378"/>
          </w:tcPr>
          <w:p>
            <w:r>
              <w:t>143,196</w:t>
            </w:r>
          </w:p>
        </w:tc>
        <w:tc>
          <w:tcPr>
            <w:tcW w:type="dxa" w:w="1378"/>
          </w:tcPr>
          <w:p>
            <w:r>
              <w:t>1.000</w:t>
            </w:r>
          </w:p>
        </w:tc>
        <w:tc>
          <w:tcPr>
            <w:tcW w:type="dxa" w:w="1378"/>
          </w:tcPr>
          <w:p>
            <w:r>
              <w:t>1.000</w:t>
            </w:r>
          </w:p>
        </w:tc>
        <w:tc>
          <w:tcPr>
            <w:tcW w:type="dxa" w:w="1378"/>
          </w:tcPr>
          <w:p>
            <w:r>
              <w:t>1.000</w:t>
            </w:r>
          </w:p>
        </w:tc>
        <w:tc>
          <w:tcPr>
            <w:tcW w:type="dxa" w:w="1378"/>
          </w:tcPr>
          <w:p>
            <w:r>
              <w:t>[1.000, 1.000]</w:t>
            </w:r>
          </w:p>
        </w:tc>
      </w:tr>
      <w:tr>
        <w:tc>
          <w:tcPr>
            <w:tcW w:type="dxa" w:w="1378"/>
          </w:tcPr>
          <w:p>
            <w:r>
              <w:t>Yang-Zhang</w:t>
            </w:r>
          </w:p>
        </w:tc>
        <w:tc>
          <w:tcPr>
            <w:tcW w:type="dxa" w:w="1378"/>
          </w:tcPr>
          <w:p>
            <w:r>
              <w:t>286</w:t>
            </w:r>
          </w:p>
        </w:tc>
        <w:tc>
          <w:tcPr>
            <w:tcW w:type="dxa" w:w="1378"/>
          </w:tcPr>
          <w:p>
            <w:r>
              <w:t>135,899</w:t>
            </w:r>
          </w:p>
        </w:tc>
        <w:tc>
          <w:tcPr>
            <w:tcW w:type="dxa" w:w="1378"/>
          </w:tcPr>
          <w:p>
            <w:r>
              <w:t>1.280</w:t>
            </w:r>
          </w:p>
        </w:tc>
        <w:tc>
          <w:tcPr>
            <w:tcW w:type="dxa" w:w="1378"/>
          </w:tcPr>
          <w:p>
            <w:r>
              <w:t>1.293</w:t>
            </w:r>
          </w:p>
        </w:tc>
        <w:tc>
          <w:tcPr>
            <w:tcW w:type="dxa" w:w="1378"/>
          </w:tcPr>
          <w:p>
            <w:r>
              <w:t>1.293</w:t>
            </w:r>
          </w:p>
        </w:tc>
        <w:tc>
          <w:tcPr>
            <w:tcW w:type="dxa" w:w="1378"/>
          </w:tcPr>
          <w:p>
            <w:r>
              <w:t>[1.045, 1.588]</w:t>
            </w:r>
          </w:p>
        </w:tc>
      </w:tr>
    </w:tbl>
    <w:p/>
    <w:p>
      <w:pPr/>
      <w:r>
        <w:t>Table 20. SD ratio to the matched proxy by length of observed history (terciles of observed stock-days per security).</w:t>
      </w:r>
    </w:p>
    <w:tbl>
      <w:tblPr>
        <w:tblStyle w:val="TableGrid"/>
        <w:tblW w:type="auto" w:w="0"/>
        <w:tblLook w:firstColumn="1" w:firstRow="1" w:lastColumn="0" w:lastRow="0" w:noHBand="0" w:noVBand="1" w:val="04A0"/>
      </w:tblPr>
      <w:tblGrid>
        <w:gridCol w:w="2412"/>
        <w:gridCol w:w="2412"/>
        <w:gridCol w:w="2412"/>
        <w:gridCol w:w="2412"/>
      </w:tblGrid>
      <w:tr>
        <w:trPr>
          <w:tblHeader/>
        </w:trPr>
        <w:tc>
          <w:tcPr>
            <w:tcW w:type="dxa" w:w="2412"/>
          </w:tcPr>
          <w:p>
            <w:r>
              <w:t>Estimator</w:t>
            </w:r>
          </w:p>
        </w:tc>
        <w:tc>
          <w:tcPr>
            <w:tcW w:type="dxa" w:w="2412"/>
          </w:tcPr>
          <w:p>
            <w:r>
              <w:t>short history</w:t>
            </w:r>
          </w:p>
        </w:tc>
        <w:tc>
          <w:tcPr>
            <w:tcW w:type="dxa" w:w="2412"/>
          </w:tcPr>
          <w:p>
            <w:r>
              <w:t>medium</w:t>
            </w:r>
          </w:p>
        </w:tc>
        <w:tc>
          <w:tcPr>
            <w:tcW w:type="dxa" w:w="2412"/>
          </w:tcPr>
          <w:p>
            <w:r>
              <w:t>long history</w:t>
            </w:r>
          </w:p>
        </w:tc>
      </w:tr>
      <w:tr>
        <w:tc>
          <w:tcPr>
            <w:tcW w:type="dxa" w:w="2412"/>
          </w:tcPr>
          <w:p>
            <w:r>
              <w:t>Parkinson</w:t>
            </w:r>
          </w:p>
        </w:tc>
        <w:tc>
          <w:tcPr>
            <w:tcW w:type="dxa" w:w="2412"/>
          </w:tcPr>
          <w:p>
            <w:r>
              <w:t>0.964</w:t>
            </w:r>
          </w:p>
        </w:tc>
        <w:tc>
          <w:tcPr>
            <w:tcW w:type="dxa" w:w="2412"/>
          </w:tcPr>
          <w:p>
            <w:r>
              <w:t>1.015</w:t>
            </w:r>
          </w:p>
        </w:tc>
        <w:tc>
          <w:tcPr>
            <w:tcW w:type="dxa" w:w="2412"/>
          </w:tcPr>
          <w:p>
            <w:r>
              <w:t>1.016</w:t>
            </w:r>
          </w:p>
        </w:tc>
      </w:tr>
      <w:tr>
        <w:tc>
          <w:tcPr>
            <w:tcW w:type="dxa" w:w="2412"/>
          </w:tcPr>
          <w:p>
            <w:r>
              <w:t>Garman-Klass</w:t>
            </w:r>
          </w:p>
        </w:tc>
        <w:tc>
          <w:tcPr>
            <w:tcW w:type="dxa" w:w="2412"/>
          </w:tcPr>
          <w:p>
            <w:r>
              <w:t>0.950</w:t>
            </w:r>
          </w:p>
        </w:tc>
        <w:tc>
          <w:tcPr>
            <w:tcW w:type="dxa" w:w="2412"/>
          </w:tcPr>
          <w:p>
            <w:r>
              <w:t>1.020</w:t>
            </w:r>
          </w:p>
        </w:tc>
        <w:tc>
          <w:tcPr>
            <w:tcW w:type="dxa" w:w="2412"/>
          </w:tcPr>
          <w:p>
            <w:r>
              <w:t>1.022</w:t>
            </w:r>
          </w:p>
        </w:tc>
      </w:tr>
      <w:tr>
        <w:tc>
          <w:tcPr>
            <w:tcW w:type="dxa" w:w="2412"/>
          </w:tcPr>
          <w:p>
            <w:r>
              <w:t>Rogers-Satchell</w:t>
            </w:r>
          </w:p>
        </w:tc>
        <w:tc>
          <w:tcPr>
            <w:tcW w:type="dxa" w:w="2412"/>
          </w:tcPr>
          <w:p>
            <w:r>
              <w:t>0.981</w:t>
            </w:r>
          </w:p>
        </w:tc>
        <w:tc>
          <w:tcPr>
            <w:tcW w:type="dxa" w:w="2412"/>
          </w:tcPr>
          <w:p>
            <w:r>
              <w:t>1.059</w:t>
            </w:r>
          </w:p>
        </w:tc>
        <w:tc>
          <w:tcPr>
            <w:tcW w:type="dxa" w:w="2412"/>
          </w:tcPr>
          <w:p>
            <w:r>
              <w:t>1.059</w:t>
            </w:r>
          </w:p>
        </w:tc>
      </w:tr>
      <w:tr>
        <w:tc>
          <w:tcPr>
            <w:tcW w:type="dxa" w:w="2412"/>
          </w:tcPr>
          <w:p>
            <w:r>
              <w:t>AddRS</w:t>
            </w:r>
          </w:p>
        </w:tc>
        <w:tc>
          <w:tcPr>
            <w:tcW w:type="dxa" w:w="2412"/>
          </w:tcPr>
          <w:p>
            <w:r>
              <w:t>1.213</w:t>
            </w:r>
          </w:p>
        </w:tc>
        <w:tc>
          <w:tcPr>
            <w:tcW w:type="dxa" w:w="2412"/>
          </w:tcPr>
          <w:p>
            <w:r>
              <w:t>1.233</w:t>
            </w:r>
          </w:p>
        </w:tc>
        <w:tc>
          <w:tcPr>
            <w:tcW w:type="dxa" w:w="2412"/>
          </w:tcPr>
          <w:p>
            <w:r>
              <w:t>1.228</w:t>
            </w:r>
          </w:p>
        </w:tc>
      </w:tr>
      <w:tr>
        <w:tc>
          <w:tcPr>
            <w:tcW w:type="dxa" w:w="2412"/>
          </w:tcPr>
          <w:p>
            <w:r>
              <w:t>Close-to-close</w:t>
            </w:r>
          </w:p>
        </w:tc>
        <w:tc>
          <w:tcPr>
            <w:tcW w:type="dxa" w:w="2412"/>
          </w:tcPr>
          <w:p>
            <w:r>
              <w:t>1.000</w:t>
            </w:r>
          </w:p>
        </w:tc>
        <w:tc>
          <w:tcPr>
            <w:tcW w:type="dxa" w:w="2412"/>
          </w:tcPr>
          <w:p>
            <w:r>
              <w:t>1.000</w:t>
            </w:r>
          </w:p>
        </w:tc>
        <w:tc>
          <w:tcPr>
            <w:tcW w:type="dxa" w:w="2412"/>
          </w:tcPr>
          <w:p>
            <w:r>
              <w:t>1.000</w:t>
            </w:r>
          </w:p>
        </w:tc>
      </w:tr>
      <w:tr>
        <w:tc>
          <w:tcPr>
            <w:tcW w:type="dxa" w:w="2412"/>
          </w:tcPr>
          <w:p>
            <w:r>
              <w:t>Yang-Zhang</w:t>
            </w:r>
          </w:p>
        </w:tc>
        <w:tc>
          <w:tcPr>
            <w:tcW w:type="dxa" w:w="2412"/>
          </w:tcPr>
          <w:p>
            <w:r>
              <w:t>1.251</w:t>
            </w:r>
          </w:p>
        </w:tc>
        <w:tc>
          <w:tcPr>
            <w:tcW w:type="dxa" w:w="2412"/>
          </w:tcPr>
          <w:p>
            <w:r>
              <w:t>1.280</w:t>
            </w:r>
          </w:p>
        </w:tc>
        <w:tc>
          <w:tcPr>
            <w:tcW w:type="dxa" w:w="2412"/>
          </w:tcPr>
          <w:p>
            <w:r>
              <w:t>1.301</w:t>
            </w:r>
          </w:p>
        </w:tc>
      </w:tr>
    </w:tbl>
    <w:p/>
    <w:p>
      <w:pPr/>
      <w:r>
        <w:t>Table 21. Thin stock-days under a lagged, outcome-independent liquidity screen (participation and conditional-median trade count over the previous 60 scheduled sessions, through t-1; 60-scheduled-session history floor).</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tcPr>
          <w:p>
            <w:r>
              <w:t>Group</w:t>
            </w:r>
          </w:p>
        </w:tc>
        <w:tc>
          <w:tcPr>
            <w:tcW w:type="dxa" w:w="1378"/>
          </w:tcPr>
          <w:p>
            <w:r>
              <w:t>Securities</w:t>
            </w:r>
          </w:p>
        </w:tc>
        <w:tc>
          <w:tcPr>
            <w:tcW w:type="dxa" w:w="1378"/>
          </w:tcPr>
          <w:p>
            <w:r>
              <w:t>Stock-days</w:t>
            </w:r>
          </w:p>
        </w:tc>
        <w:tc>
          <w:tcPr>
            <w:tcW w:type="dxa" w:w="1378"/>
          </w:tcPr>
          <w:p>
            <w:r>
              <w:t>Share of eligible stock-days</w:t>
            </w:r>
          </w:p>
        </w:tc>
        <w:tc>
          <w:tcPr>
            <w:tcW w:type="dxa" w:w="1378"/>
          </w:tcPr>
          <w:p>
            <w:r>
              <w:t>Parkinson: SD ratio to matched proxy</w:t>
            </w:r>
          </w:p>
        </w:tc>
        <w:tc>
          <w:tcPr>
            <w:tcW w:type="dxa" w:w="1378"/>
          </w:tcPr>
          <w:p>
            <w:r>
              <w:t>95% CI (block-date)</w:t>
            </w:r>
          </w:p>
        </w:tc>
        <w:tc>
          <w:tcPr>
            <w:tcW w:type="dxa" w:w="1378"/>
          </w:tcPr>
          <w:p>
            <w:r>
              <w:t>Verdict at ±5% margin</w:t>
            </w:r>
          </w:p>
        </w:tc>
      </w:tr>
      <w:tr>
        <w:tc>
          <w:tcPr>
            <w:tcW w:type="dxa" w:w="1378"/>
          </w:tcPr>
          <w:p>
            <w:r>
              <w:t>thin (lagged screen)</w:t>
            </w:r>
          </w:p>
        </w:tc>
        <w:tc>
          <w:tcPr>
            <w:tcW w:type="dxa" w:w="1378"/>
          </w:tcPr>
          <w:p>
            <w:r>
              <w:t>62</w:t>
            </w:r>
          </w:p>
        </w:tc>
        <w:tc>
          <w:tcPr>
            <w:tcW w:type="dxa" w:w="1378"/>
          </w:tcPr>
          <w:p>
            <w:r>
              <w:t>12,454</w:t>
            </w:r>
          </w:p>
        </w:tc>
        <w:tc>
          <w:tcPr>
            <w:tcW w:type="dxa" w:w="1378"/>
          </w:tcPr>
          <w:p>
            <w:r>
              <w:t>9.83%</w:t>
            </w:r>
          </w:p>
        </w:tc>
        <w:tc>
          <w:tcPr>
            <w:tcW w:type="dxa" w:w="1378"/>
          </w:tcPr>
          <w:p>
            <w:r>
              <w:t>1.020</w:t>
            </w:r>
          </w:p>
        </w:tc>
        <w:tc>
          <w:tcPr>
            <w:tcW w:type="dxa" w:w="1378"/>
          </w:tcPr>
          <w:p>
            <w:r>
              <w:t>[0.984, 1.064]</w:t>
            </w:r>
          </w:p>
        </w:tc>
        <w:tc>
          <w:tcPr>
            <w:tcW w:type="dxa" w:w="1378"/>
          </w:tcPr>
          <w:p>
            <w:r>
              <w:t>inconclusive</w:t>
            </w:r>
          </w:p>
        </w:tc>
      </w:tr>
      <w:tr>
        <w:tc>
          <w:tcPr>
            <w:tcW w:type="dxa" w:w="1378"/>
          </w:tcPr>
          <w:p>
            <w:r>
              <w:t>all other eligible equity</w:t>
            </w:r>
          </w:p>
        </w:tc>
        <w:tc>
          <w:tcPr>
            <w:tcW w:type="dxa" w:w="1378"/>
          </w:tcPr>
          <w:p>
            <w:r>
              <w:t>274</w:t>
            </w:r>
          </w:p>
        </w:tc>
        <w:tc>
          <w:tcPr>
            <w:tcW w:type="dxa" w:w="1378"/>
          </w:tcPr>
          <w:p>
            <w:r>
              <w:t>114,253</w:t>
            </w:r>
          </w:p>
        </w:tc>
        <w:tc>
          <w:tcPr>
            <w:tcW w:type="dxa" w:w="1378"/>
          </w:tcPr>
          <w:p>
            <w:r>
              <w:t>90.17%</w:t>
            </w:r>
          </w:p>
        </w:tc>
        <w:tc>
          <w:tcPr>
            <w:tcW w:type="dxa" w:w="1378"/>
          </w:tcPr>
          <w:p>
            <w:r>
              <w:t>1.015</w:t>
            </w:r>
          </w:p>
        </w:tc>
        <w:tc>
          <w:tcPr>
            <w:tcW w:type="dxa" w:w="1378"/>
          </w:tcPr>
          <w:p>
            <w:r>
              <w:t>[0.992, 1.035]</w:t>
            </w:r>
          </w:p>
        </w:tc>
        <w:tc>
          <w:tcPr>
            <w:tcW w:type="dxa" w:w="1378"/>
          </w:tcPr>
          <w:p>
            <w:r>
              <w:t>equivalent</w:t>
            </w:r>
          </w:p>
        </w:tc>
      </w:tr>
    </w:tbl>
    <w:p/>
    <w:p>
      <w:pPr/>
      <w:r>
        <w:t>Table 22. Sensitivity of the lagged thinness screen: threshold grid, history floor, and each leg of the composite rule on its own.</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trPr>
        <w:tc>
          <w:tcPr>
            <w:tcW w:type="dxa" w:w="1608"/>
          </w:tcPr>
          <w:p>
            <w:r>
              <w:t>Sensitivity axis</w:t>
            </w:r>
          </w:p>
        </w:tc>
        <w:tc>
          <w:tcPr>
            <w:tcW w:type="dxa" w:w="1608"/>
          </w:tcPr>
          <w:p>
            <w:r>
              <w:t>Specification</w:t>
            </w:r>
          </w:p>
        </w:tc>
        <w:tc>
          <w:tcPr>
            <w:tcW w:type="dxa" w:w="1608"/>
          </w:tcPr>
          <w:p>
            <w:r>
              <w:t>Eligible stock-days flagged thin</w:t>
            </w:r>
          </w:p>
        </w:tc>
        <w:tc>
          <w:tcPr>
            <w:tcW w:type="dxa" w:w="1608"/>
          </w:tcPr>
          <w:p>
            <w:r>
              <w:t>Parkinson: SD ratio to matched proxy</w:t>
            </w:r>
          </w:p>
        </w:tc>
        <w:tc>
          <w:tcPr>
            <w:tcW w:type="dxa" w:w="1608"/>
          </w:tcPr>
          <w:p>
            <w:r>
              <w:t>95% CI (block-date)</w:t>
            </w:r>
          </w:p>
        </w:tc>
        <w:tc>
          <w:tcPr>
            <w:tcW w:type="dxa" w:w="1608"/>
          </w:tcPr>
          <w:p>
            <w:r>
              <w:t>Verdict at ±5% margin</w:t>
            </w:r>
          </w:p>
        </w:tc>
      </w:tr>
      <w:tr>
        <w:tc>
          <w:tcPr>
            <w:tcW w:type="dxa" w:w="1608"/>
          </w:tcPr>
          <w:p>
            <w:r>
              <w:t>Threshold grid</w:t>
            </w:r>
          </w:p>
        </w:tc>
        <w:tc>
          <w:tcPr>
            <w:tcW w:type="dxa" w:w="1608"/>
          </w:tcPr>
          <w:p>
            <w:r>
              <w:t>participation &lt; 80%, bottom 5% trades</w:t>
            </w:r>
          </w:p>
        </w:tc>
        <w:tc>
          <w:tcPr>
            <w:tcW w:type="dxa" w:w="1608"/>
          </w:tcPr>
          <w:p>
            <w:r>
              <w:t>4.83%</w:t>
            </w:r>
          </w:p>
        </w:tc>
        <w:tc>
          <w:tcPr>
            <w:tcW w:type="dxa" w:w="1608"/>
          </w:tcPr>
          <w:p>
            <w:r>
              <w:t>0.998</w:t>
            </w:r>
          </w:p>
        </w:tc>
        <w:tc>
          <w:tcPr>
            <w:tcW w:type="dxa" w:w="1608"/>
          </w:tcPr>
          <w:p>
            <w:r>
              <w:t>[0.954, 1.051]</w:t>
            </w:r>
          </w:p>
        </w:tc>
        <w:tc>
          <w:tcPr>
            <w:tcW w:type="dxa" w:w="1608"/>
          </w:tcPr>
          <w:p>
            <w:r>
              <w:t>inconclusive</w:t>
            </w:r>
          </w:p>
        </w:tc>
      </w:tr>
      <w:tr>
        <w:tc>
          <w:tcPr>
            <w:tcW w:type="dxa" w:w="1608"/>
          </w:tcPr>
          <w:p>
            <w:r>
              <w:t>Threshold grid</w:t>
            </w:r>
          </w:p>
        </w:tc>
        <w:tc>
          <w:tcPr>
            <w:tcW w:type="dxa" w:w="1608"/>
          </w:tcPr>
          <w:p>
            <w:r>
              <w:t>participation &lt; 80%, bottom 10% trades</w:t>
            </w:r>
          </w:p>
        </w:tc>
        <w:tc>
          <w:tcPr>
            <w:tcW w:type="dxa" w:w="1608"/>
          </w:tcPr>
          <w:p>
            <w:r>
              <w:t>9.82%</w:t>
            </w:r>
          </w:p>
        </w:tc>
        <w:tc>
          <w:tcPr>
            <w:tcW w:type="dxa" w:w="1608"/>
          </w:tcPr>
          <w:p>
            <w:r>
              <w:t>1.020</w:t>
            </w:r>
          </w:p>
        </w:tc>
        <w:tc>
          <w:tcPr>
            <w:tcW w:type="dxa" w:w="1608"/>
          </w:tcPr>
          <w:p>
            <w:r>
              <w:t>[0.984, 1.064]</w:t>
            </w:r>
          </w:p>
        </w:tc>
        <w:tc>
          <w:tcPr>
            <w:tcW w:type="dxa" w:w="1608"/>
          </w:tcPr>
          <w:p>
            <w:r>
              <w:t>inconclusive</w:t>
            </w:r>
          </w:p>
        </w:tc>
      </w:tr>
      <w:tr>
        <w:tc>
          <w:tcPr>
            <w:tcW w:type="dxa" w:w="1608"/>
          </w:tcPr>
          <w:p>
            <w:r>
              <w:t>Threshold grid</w:t>
            </w:r>
          </w:p>
        </w:tc>
        <w:tc>
          <w:tcPr>
            <w:tcW w:type="dxa" w:w="1608"/>
          </w:tcPr>
          <w:p>
            <w:r>
              <w:t>participation &lt; 80%, bottom 20% trades</w:t>
            </w:r>
          </w:p>
        </w:tc>
        <w:tc>
          <w:tcPr>
            <w:tcW w:type="dxa" w:w="1608"/>
          </w:tcPr>
          <w:p>
            <w:r>
              <w:t>19.75%</w:t>
            </w:r>
          </w:p>
        </w:tc>
        <w:tc>
          <w:tcPr>
            <w:tcW w:type="dxa" w:w="1608"/>
          </w:tcPr>
          <w:p>
            <w:r>
              <w:t>1.033</w:t>
            </w:r>
          </w:p>
        </w:tc>
        <w:tc>
          <w:tcPr>
            <w:tcW w:type="dxa" w:w="1608"/>
          </w:tcPr>
          <w:p>
            <w:r>
              <w:t>[0.9995, 1.074]</w:t>
            </w:r>
          </w:p>
        </w:tc>
        <w:tc>
          <w:tcPr>
            <w:tcW w:type="dxa" w:w="1608"/>
          </w:tcPr>
          <w:p>
            <w:r>
              <w:t>inconclusive</w:t>
            </w:r>
          </w:p>
        </w:tc>
      </w:tr>
      <w:tr>
        <w:tc>
          <w:tcPr>
            <w:tcW w:type="dxa" w:w="1608"/>
          </w:tcPr>
          <w:p>
            <w:r>
              <w:t>Threshold grid</w:t>
            </w:r>
          </w:p>
        </w:tc>
        <w:tc>
          <w:tcPr>
            <w:tcW w:type="dxa" w:w="1608"/>
          </w:tcPr>
          <w:p>
            <w:r>
              <w:t>participation &lt; 90%, bottom 5% trades</w:t>
            </w:r>
          </w:p>
        </w:tc>
        <w:tc>
          <w:tcPr>
            <w:tcW w:type="dxa" w:w="1608"/>
          </w:tcPr>
          <w:p>
            <w:r>
              <w:t>4.84%</w:t>
            </w:r>
          </w:p>
        </w:tc>
        <w:tc>
          <w:tcPr>
            <w:tcW w:type="dxa" w:w="1608"/>
          </w:tcPr>
          <w:p>
            <w:r>
              <w:t>0.998</w:t>
            </w:r>
          </w:p>
        </w:tc>
        <w:tc>
          <w:tcPr>
            <w:tcW w:type="dxa" w:w="1608"/>
          </w:tcPr>
          <w:p>
            <w:r>
              <w:t>[0.954, 1.051]</w:t>
            </w:r>
          </w:p>
        </w:tc>
        <w:tc>
          <w:tcPr>
            <w:tcW w:type="dxa" w:w="1608"/>
          </w:tcPr>
          <w:p>
            <w:r>
              <w:t>inconclusive</w:t>
            </w:r>
          </w:p>
        </w:tc>
      </w:tr>
      <w:tr>
        <w:tc>
          <w:tcPr>
            <w:tcW w:type="dxa" w:w="1608"/>
          </w:tcPr>
          <w:p>
            <w:r>
              <w:t>Threshold grid</w:t>
            </w:r>
          </w:p>
        </w:tc>
        <w:tc>
          <w:tcPr>
            <w:tcW w:type="dxa" w:w="1608"/>
          </w:tcPr>
          <w:p>
            <w:r>
              <w:t>participation &lt; 90%, bottom 10% trades</w:t>
            </w:r>
          </w:p>
        </w:tc>
        <w:tc>
          <w:tcPr>
            <w:tcW w:type="dxa" w:w="1608"/>
          </w:tcPr>
          <w:p>
            <w:r>
              <w:t>9.83%</w:t>
            </w:r>
          </w:p>
        </w:tc>
        <w:tc>
          <w:tcPr>
            <w:tcW w:type="dxa" w:w="1608"/>
          </w:tcPr>
          <w:p>
            <w:r>
              <w:t>1.020</w:t>
            </w:r>
          </w:p>
        </w:tc>
        <w:tc>
          <w:tcPr>
            <w:tcW w:type="dxa" w:w="1608"/>
          </w:tcPr>
          <w:p>
            <w:r>
              <w:t>[0.984, 1.064]</w:t>
            </w:r>
          </w:p>
        </w:tc>
        <w:tc>
          <w:tcPr>
            <w:tcW w:type="dxa" w:w="1608"/>
          </w:tcPr>
          <w:p>
            <w:r>
              <w:t>inconclusive</w:t>
            </w:r>
          </w:p>
        </w:tc>
      </w:tr>
      <w:tr>
        <w:tc>
          <w:tcPr>
            <w:tcW w:type="dxa" w:w="1608"/>
          </w:tcPr>
          <w:p>
            <w:r>
              <w:t>Threshold grid</w:t>
            </w:r>
          </w:p>
        </w:tc>
        <w:tc>
          <w:tcPr>
            <w:tcW w:type="dxa" w:w="1608"/>
          </w:tcPr>
          <w:p>
            <w:r>
              <w:t>participation &lt; 90%, bottom 20% trades</w:t>
            </w:r>
          </w:p>
        </w:tc>
        <w:tc>
          <w:tcPr>
            <w:tcW w:type="dxa" w:w="1608"/>
          </w:tcPr>
          <w:p>
            <w:r>
              <w:t>19.76%</w:t>
            </w:r>
          </w:p>
        </w:tc>
        <w:tc>
          <w:tcPr>
            <w:tcW w:type="dxa" w:w="1608"/>
          </w:tcPr>
          <w:p>
            <w:r>
              <w:t>1.033</w:t>
            </w:r>
          </w:p>
        </w:tc>
        <w:tc>
          <w:tcPr>
            <w:tcW w:type="dxa" w:w="1608"/>
          </w:tcPr>
          <w:p>
            <w:r>
              <w:t>[0.9995, 1.074]</w:t>
            </w:r>
          </w:p>
        </w:tc>
        <w:tc>
          <w:tcPr>
            <w:tcW w:type="dxa" w:w="1608"/>
          </w:tcPr>
          <w:p>
            <w:r>
              <w:t>inconclusive</w:t>
            </w:r>
          </w:p>
        </w:tc>
      </w:tr>
      <w:tr>
        <w:tc>
          <w:tcPr>
            <w:tcW w:type="dxa" w:w="1608"/>
          </w:tcPr>
          <w:p>
            <w:r>
              <w:t>Threshold grid</w:t>
            </w:r>
          </w:p>
        </w:tc>
        <w:tc>
          <w:tcPr>
            <w:tcW w:type="dxa" w:w="1608"/>
          </w:tcPr>
          <w:p>
            <w:r>
              <w:t>participation &lt; 95%, bottom 5% trades</w:t>
            </w:r>
          </w:p>
        </w:tc>
        <w:tc>
          <w:tcPr>
            <w:tcW w:type="dxa" w:w="1608"/>
          </w:tcPr>
          <w:p>
            <w:r>
              <w:t>4.85%</w:t>
            </w:r>
          </w:p>
        </w:tc>
        <w:tc>
          <w:tcPr>
            <w:tcW w:type="dxa" w:w="1608"/>
          </w:tcPr>
          <w:p>
            <w:r>
              <w:t>0.999</w:t>
            </w:r>
          </w:p>
        </w:tc>
        <w:tc>
          <w:tcPr>
            <w:tcW w:type="dxa" w:w="1608"/>
          </w:tcPr>
          <w:p>
            <w:r>
              <w:t>[0.954, 1.051]</w:t>
            </w:r>
          </w:p>
        </w:tc>
        <w:tc>
          <w:tcPr>
            <w:tcW w:type="dxa" w:w="1608"/>
          </w:tcPr>
          <w:p>
            <w:r>
              <w:t>inconclusive</w:t>
            </w:r>
          </w:p>
        </w:tc>
      </w:tr>
      <w:tr>
        <w:tc>
          <w:tcPr>
            <w:tcW w:type="dxa" w:w="1608"/>
          </w:tcPr>
          <w:p>
            <w:r>
              <w:t>Threshold grid</w:t>
            </w:r>
          </w:p>
        </w:tc>
        <w:tc>
          <w:tcPr>
            <w:tcW w:type="dxa" w:w="1608"/>
          </w:tcPr>
          <w:p>
            <w:r>
              <w:t>participation &lt; 95%, bottom 10% trades</w:t>
            </w:r>
          </w:p>
        </w:tc>
        <w:tc>
          <w:tcPr>
            <w:tcW w:type="dxa" w:w="1608"/>
          </w:tcPr>
          <w:p>
            <w:r>
              <w:t>9.83%</w:t>
            </w:r>
          </w:p>
        </w:tc>
        <w:tc>
          <w:tcPr>
            <w:tcW w:type="dxa" w:w="1608"/>
          </w:tcPr>
          <w:p>
            <w:r>
              <w:t>1.020</w:t>
            </w:r>
          </w:p>
        </w:tc>
        <w:tc>
          <w:tcPr>
            <w:tcW w:type="dxa" w:w="1608"/>
          </w:tcPr>
          <w:p>
            <w:r>
              <w:t>[0.984, 1.064]</w:t>
            </w:r>
          </w:p>
        </w:tc>
        <w:tc>
          <w:tcPr>
            <w:tcW w:type="dxa" w:w="1608"/>
          </w:tcPr>
          <w:p>
            <w:r>
              <w:t>inconclusive</w:t>
            </w:r>
          </w:p>
        </w:tc>
      </w:tr>
      <w:tr>
        <w:tc>
          <w:tcPr>
            <w:tcW w:type="dxa" w:w="1608"/>
          </w:tcPr>
          <w:p>
            <w:r>
              <w:t>Threshold grid</w:t>
            </w:r>
          </w:p>
        </w:tc>
        <w:tc>
          <w:tcPr>
            <w:tcW w:type="dxa" w:w="1608"/>
          </w:tcPr>
          <w:p>
            <w:r>
              <w:t>participation &lt; 95%, bottom 20% trades</w:t>
            </w:r>
          </w:p>
        </w:tc>
        <w:tc>
          <w:tcPr>
            <w:tcW w:type="dxa" w:w="1608"/>
          </w:tcPr>
          <w:p>
            <w:r>
              <w:t>19.76%</w:t>
            </w:r>
          </w:p>
        </w:tc>
        <w:tc>
          <w:tcPr>
            <w:tcW w:type="dxa" w:w="1608"/>
          </w:tcPr>
          <w:p>
            <w:r>
              <w:t>1.033</w:t>
            </w:r>
          </w:p>
        </w:tc>
        <w:tc>
          <w:tcPr>
            <w:tcW w:type="dxa" w:w="1608"/>
          </w:tcPr>
          <w:p>
            <w:r>
              <w:t>[0.9995, 1.074]</w:t>
            </w:r>
          </w:p>
        </w:tc>
        <w:tc>
          <w:tcPr>
            <w:tcW w:type="dxa" w:w="1608"/>
          </w:tcPr>
          <w:p>
            <w:r>
              <w:t>inconclusive</w:t>
            </w:r>
          </w:p>
        </w:tc>
      </w:tr>
      <w:tr>
        <w:tc>
          <w:tcPr>
            <w:tcW w:type="dxa" w:w="1608"/>
          </w:tcPr>
          <w:p>
            <w:r>
              <w:t>History floor</w:t>
            </w:r>
          </w:p>
        </w:tc>
        <w:tc>
          <w:tcPr>
            <w:tcW w:type="dxa" w:w="1608"/>
          </w:tcPr>
          <w:p>
            <w:r>
              <w:t>40 scheduled sessions</w:t>
            </w:r>
          </w:p>
        </w:tc>
        <w:tc>
          <w:tcPr>
            <w:tcW w:type="dxa" w:w="1608"/>
          </w:tcPr>
          <w:p>
            <w:r>
              <w:t>9.84%</w:t>
            </w:r>
          </w:p>
        </w:tc>
        <w:tc>
          <w:tcPr>
            <w:tcW w:type="dxa" w:w="1608"/>
          </w:tcPr>
          <w:p>
            <w:r>
              <w:t>1.020</w:t>
            </w:r>
          </w:p>
        </w:tc>
        <w:tc>
          <w:tcPr>
            <w:tcW w:type="dxa" w:w="1608"/>
          </w:tcPr>
          <w:p>
            <w:r>
              <w:t>[0.981, 1.063]</w:t>
            </w:r>
          </w:p>
        </w:tc>
        <w:tc>
          <w:tcPr>
            <w:tcW w:type="dxa" w:w="1608"/>
          </w:tcPr>
          <w:p>
            <w:r>
              <w:t>inconclusive</w:t>
            </w:r>
          </w:p>
        </w:tc>
      </w:tr>
      <w:tr>
        <w:tc>
          <w:tcPr>
            <w:tcW w:type="dxa" w:w="1608"/>
          </w:tcPr>
          <w:p>
            <w:r>
              <w:t>History floor</w:t>
            </w:r>
          </w:p>
        </w:tc>
        <w:tc>
          <w:tcPr>
            <w:tcW w:type="dxa" w:w="1608"/>
          </w:tcPr>
          <w:p>
            <w:r>
              <w:t>60 scheduled sessions</w:t>
            </w:r>
          </w:p>
        </w:tc>
        <w:tc>
          <w:tcPr>
            <w:tcW w:type="dxa" w:w="1608"/>
          </w:tcPr>
          <w:p>
            <w:r>
              <w:t>9.83%</w:t>
            </w:r>
          </w:p>
        </w:tc>
        <w:tc>
          <w:tcPr>
            <w:tcW w:type="dxa" w:w="1608"/>
          </w:tcPr>
          <w:p>
            <w:r>
              <w:t>1.020</w:t>
            </w:r>
          </w:p>
        </w:tc>
        <w:tc>
          <w:tcPr>
            <w:tcW w:type="dxa" w:w="1608"/>
          </w:tcPr>
          <w:p>
            <w:r>
              <w:t>[0.984, 1.064]</w:t>
            </w:r>
          </w:p>
        </w:tc>
        <w:tc>
          <w:tcPr>
            <w:tcW w:type="dxa" w:w="1608"/>
          </w:tcPr>
          <w:p>
            <w:r>
              <w:t>inconclusive</w:t>
            </w:r>
          </w:p>
        </w:tc>
      </w:tr>
      <w:tr>
        <w:tc>
          <w:tcPr>
            <w:tcW w:type="dxa" w:w="1608"/>
          </w:tcPr>
          <w:p>
            <w:r>
              <w:t>History floor</w:t>
            </w:r>
          </w:p>
        </w:tc>
        <w:tc>
          <w:tcPr>
            <w:tcW w:type="dxa" w:w="1608"/>
          </w:tcPr>
          <w:p>
            <w:r>
              <w:t>120 scheduled sessions</w:t>
            </w:r>
          </w:p>
        </w:tc>
        <w:tc>
          <w:tcPr>
            <w:tcW w:type="dxa" w:w="1608"/>
          </w:tcPr>
          <w:p>
            <w:r>
              <w:t>9.84%</w:t>
            </w:r>
          </w:p>
        </w:tc>
        <w:tc>
          <w:tcPr>
            <w:tcW w:type="dxa" w:w="1608"/>
          </w:tcPr>
          <w:p>
            <w:r>
              <w:t>1.015</w:t>
            </w:r>
          </w:p>
        </w:tc>
        <w:tc>
          <w:tcPr>
            <w:tcW w:type="dxa" w:w="1608"/>
          </w:tcPr>
          <w:p>
            <w:r>
              <w:t>[0.966, 1.062]</w:t>
            </w:r>
          </w:p>
        </w:tc>
        <w:tc>
          <w:tcPr>
            <w:tcW w:type="dxa" w:w="1608"/>
          </w:tcPr>
          <w:p>
            <w:r>
              <w:t>inconclusive</w:t>
            </w:r>
          </w:p>
        </w:tc>
      </w:tr>
      <w:tr>
        <w:tc>
          <w:tcPr>
            <w:tcW w:type="dxa" w:w="1608"/>
          </w:tcPr>
          <w:p>
            <w:r>
              <w:t>Component</w:t>
            </w:r>
          </w:p>
        </w:tc>
        <w:tc>
          <w:tcPr>
            <w:tcW w:type="dxa" w:w="1608"/>
          </w:tcPr>
          <w:p>
            <w:r>
              <w:t>participation only</w:t>
            </w:r>
          </w:p>
        </w:tc>
        <w:tc>
          <w:tcPr>
            <w:tcW w:type="dxa" w:w="1608"/>
          </w:tcPr>
          <w:p>
            <w:r>
              <w:t>0.43%</w:t>
            </w:r>
          </w:p>
        </w:tc>
        <w:tc>
          <w:tcPr>
            <w:tcW w:type="dxa" w:w="1608"/>
          </w:tcPr>
          <w:p>
            <w:r>
              <w:t>0.847</w:t>
            </w:r>
          </w:p>
        </w:tc>
        <w:tc>
          <w:tcPr>
            <w:tcW w:type="dxa" w:w="1608"/>
          </w:tcPr>
          <w:p>
            <w:r>
              <w:t>[0.729, 1.104]</w:t>
            </w:r>
          </w:p>
        </w:tc>
        <w:tc>
          <w:tcPr>
            <w:tcW w:type="dxa" w:w="1608"/>
          </w:tcPr>
          <w:p>
            <w:r>
              <w:t>inconclusive</w:t>
            </w:r>
          </w:p>
        </w:tc>
      </w:tr>
      <w:tr>
        <w:tc>
          <w:tcPr>
            <w:tcW w:type="dxa" w:w="1608"/>
          </w:tcPr>
          <w:p>
            <w:r>
              <w:t>Component</w:t>
            </w:r>
          </w:p>
        </w:tc>
        <w:tc>
          <w:tcPr>
            <w:tcW w:type="dxa" w:w="1608"/>
          </w:tcPr>
          <w:p>
            <w:r>
              <w:t>trade count only</w:t>
            </w:r>
          </w:p>
        </w:tc>
        <w:tc>
          <w:tcPr>
            <w:tcW w:type="dxa" w:w="1608"/>
          </w:tcPr>
          <w:p>
            <w:r>
              <w:t>9.76%</w:t>
            </w:r>
          </w:p>
        </w:tc>
        <w:tc>
          <w:tcPr>
            <w:tcW w:type="dxa" w:w="1608"/>
          </w:tcPr>
          <w:p>
            <w:r>
              <w:t>1.020</w:t>
            </w:r>
          </w:p>
        </w:tc>
        <w:tc>
          <w:tcPr>
            <w:tcW w:type="dxa" w:w="1608"/>
          </w:tcPr>
          <w:p>
            <w:r>
              <w:t>[0.975, 1.065]</w:t>
            </w:r>
          </w:p>
        </w:tc>
        <w:tc>
          <w:tcPr>
            <w:tcW w:type="dxa" w:w="1608"/>
          </w:tcPr>
          <w:p>
            <w:r>
              <w:t>inconclusive</w:t>
            </w:r>
          </w:p>
        </w:tc>
      </w:tr>
      <w:tr>
        <w:tc>
          <w:tcPr>
            <w:tcW w:type="dxa" w:w="1608"/>
          </w:tcPr>
          <w:p>
            <w:r>
              <w:t>Component</w:t>
            </w:r>
          </w:p>
        </w:tc>
        <w:tc>
          <w:tcPr>
            <w:tcW w:type="dxa" w:w="1608"/>
          </w:tcPr>
          <w:p>
            <w:r>
              <w:t>composite OR (baseline)</w:t>
            </w:r>
          </w:p>
        </w:tc>
        <w:tc>
          <w:tcPr>
            <w:tcW w:type="dxa" w:w="1608"/>
          </w:tcPr>
          <w:p>
            <w:r>
              <w:t>9.83%</w:t>
            </w:r>
          </w:p>
        </w:tc>
        <w:tc>
          <w:tcPr>
            <w:tcW w:type="dxa" w:w="1608"/>
          </w:tcPr>
          <w:p>
            <w:r>
              <w:t>1.020</w:t>
            </w:r>
          </w:p>
        </w:tc>
        <w:tc>
          <w:tcPr>
            <w:tcW w:type="dxa" w:w="1608"/>
          </w:tcPr>
          <w:p>
            <w:r>
              <w:t>[0.984, 1.064]</w:t>
            </w:r>
          </w:p>
        </w:tc>
        <w:tc>
          <w:tcPr>
            <w:tcW w:type="dxa" w:w="1608"/>
          </w:tcPr>
          <w:p>
            <w:r>
              <w:t>inconclusive</w:t>
            </w:r>
          </w:p>
        </w:tc>
      </w:tr>
    </w:tbl>
    <w:p/>
    <w:p>
      <w:pPr/>
      <w:r>
        <w:t>Table 23. India VIX as a forecast: correlation with realised NIFTY volatility over (t, t+30 calendar days], non-overlapping windows, session t excluded.</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tcPr>
          <w:p>
            <w:r>
              <w:t>Estimator</w:t>
            </w:r>
          </w:p>
        </w:tc>
        <w:tc>
          <w:tcPr>
            <w:tcW w:type="dxa" w:w="1378"/>
          </w:tcPr>
          <w:p>
            <w:r>
              <w:t>Forward windows</w:t>
            </w:r>
          </w:p>
        </w:tc>
        <w:tc>
          <w:tcPr>
            <w:tcW w:type="dxa" w:w="1378"/>
          </w:tcPr>
          <w:p>
            <w:r>
              <w:t>Correlation with VIX (levels)</w:t>
            </w:r>
          </w:p>
        </w:tc>
        <w:tc>
          <w:tcPr>
            <w:tcW w:type="dxa" w:w="1378"/>
          </w:tcPr>
          <w:p>
            <w:r>
              <w:t>95% CI</w:t>
            </w:r>
          </w:p>
        </w:tc>
        <w:tc>
          <w:tcPr>
            <w:tcW w:type="dxa" w:w="1378"/>
          </w:tcPr>
          <w:p>
            <w:r>
              <w:t>Calibration slope on VIX</w:t>
            </w:r>
          </w:p>
        </w:tc>
        <w:tc>
          <w:tcPr>
            <w:tcW w:type="dxa" w:w="1378"/>
          </w:tcPr>
          <w:p>
            <w:r>
              <w:t>R²</w:t>
            </w:r>
          </w:p>
        </w:tc>
        <w:tc>
          <w:tcPr>
            <w:tcW w:type="dxa" w:w="1378"/>
          </w:tcPr>
          <w:p>
            <w:r>
              <w:t>Correlation in changes</w:t>
            </w:r>
          </w:p>
        </w:tc>
      </w:tr>
      <w:tr>
        <w:tc>
          <w:tcPr>
            <w:tcW w:type="dxa" w:w="1378"/>
          </w:tcPr>
          <w:p>
            <w:r>
              <w:t>Close-to-close</w:t>
            </w:r>
          </w:p>
        </w:tc>
        <w:tc>
          <w:tcPr>
            <w:tcW w:type="dxa" w:w="1378"/>
          </w:tcPr>
          <w:p>
            <w:r>
              <w:t>190</w:t>
            </w:r>
          </w:p>
        </w:tc>
        <w:tc>
          <w:tcPr>
            <w:tcW w:type="dxa" w:w="1378"/>
          </w:tcPr>
          <w:p>
            <w:r>
              <w:t>0.695</w:t>
            </w:r>
          </w:p>
        </w:tc>
        <w:tc>
          <w:tcPr>
            <w:tcW w:type="dxa" w:w="1378"/>
          </w:tcPr>
          <w:p>
            <w:r>
              <w:t>[0.613, 0.762]</w:t>
            </w:r>
          </w:p>
        </w:tc>
        <w:tc>
          <w:tcPr>
            <w:tcW w:type="dxa" w:w="1378"/>
          </w:tcPr>
          <w:p>
            <w:r>
              <w:t>0.844</w:t>
            </w:r>
          </w:p>
        </w:tc>
        <w:tc>
          <w:tcPr>
            <w:tcW w:type="dxa" w:w="1378"/>
          </w:tcPr>
          <w:p>
            <w:r>
              <w:t>0.482</w:t>
            </w:r>
          </w:p>
        </w:tc>
        <w:tc>
          <w:tcPr>
            <w:tcW w:type="dxa" w:w="1378"/>
          </w:tcPr>
          <w:p>
            <w:r>
              <w:t>0.463</w:t>
            </w:r>
          </w:p>
        </w:tc>
      </w:tr>
      <w:tr>
        <w:tc>
          <w:tcPr>
            <w:tcW w:type="dxa" w:w="1378"/>
          </w:tcPr>
          <w:p>
            <w:r>
              <w:t>Parkinson</w:t>
            </w:r>
          </w:p>
        </w:tc>
        <w:tc>
          <w:tcPr>
            <w:tcW w:type="dxa" w:w="1378"/>
          </w:tcPr>
          <w:p>
            <w:r>
              <w:t>190</w:t>
            </w:r>
          </w:p>
        </w:tc>
        <w:tc>
          <w:tcPr>
            <w:tcW w:type="dxa" w:w="1378"/>
          </w:tcPr>
          <w:p>
            <w:r>
              <w:t>0.630</w:t>
            </w:r>
          </w:p>
        </w:tc>
        <w:tc>
          <w:tcPr>
            <w:tcW w:type="dxa" w:w="1378"/>
          </w:tcPr>
          <w:p>
            <w:r>
              <w:t>[0.536, 0.709]</w:t>
            </w:r>
          </w:p>
        </w:tc>
        <w:tc>
          <w:tcPr>
            <w:tcW w:type="dxa" w:w="1378"/>
          </w:tcPr>
          <w:p>
            <w:r>
              <w:t>0.595</w:t>
            </w:r>
          </w:p>
        </w:tc>
        <w:tc>
          <w:tcPr>
            <w:tcW w:type="dxa" w:w="1378"/>
          </w:tcPr>
          <w:p>
            <w:r>
              <w:t>0.398</w:t>
            </w:r>
          </w:p>
        </w:tc>
        <w:tc>
          <w:tcPr>
            <w:tcW w:type="dxa" w:w="1378"/>
          </w:tcPr>
          <w:p>
            <w:r>
              <w:t>0.282</w:t>
            </w:r>
          </w:p>
        </w:tc>
      </w:tr>
      <w:tr>
        <w:tc>
          <w:tcPr>
            <w:tcW w:type="dxa" w:w="1378"/>
          </w:tcPr>
          <w:p>
            <w:r>
              <w:t>Garman-Klass</w:t>
            </w:r>
          </w:p>
        </w:tc>
        <w:tc>
          <w:tcPr>
            <w:tcW w:type="dxa" w:w="1378"/>
          </w:tcPr>
          <w:p>
            <w:r>
              <w:t>190</w:t>
            </w:r>
          </w:p>
        </w:tc>
        <w:tc>
          <w:tcPr>
            <w:tcW w:type="dxa" w:w="1378"/>
          </w:tcPr>
          <w:p>
            <w:r>
              <w:t>0.604</w:t>
            </w:r>
          </w:p>
        </w:tc>
        <w:tc>
          <w:tcPr>
            <w:tcW w:type="dxa" w:w="1378"/>
          </w:tcPr>
          <w:p>
            <w:r>
              <w:t>[0.505, 0.687]</w:t>
            </w:r>
          </w:p>
        </w:tc>
        <w:tc>
          <w:tcPr>
            <w:tcW w:type="dxa" w:w="1378"/>
          </w:tcPr>
          <w:p>
            <w:r>
              <w:t>0.579</w:t>
            </w:r>
          </w:p>
        </w:tc>
        <w:tc>
          <w:tcPr>
            <w:tcW w:type="dxa" w:w="1378"/>
          </w:tcPr>
          <w:p>
            <w:r>
              <w:t>0.365</w:t>
            </w:r>
          </w:p>
        </w:tc>
        <w:tc>
          <w:tcPr>
            <w:tcW w:type="dxa" w:w="1378"/>
          </w:tcPr>
          <w:p>
            <w:r>
              <w:t>0.244</w:t>
            </w:r>
          </w:p>
        </w:tc>
      </w:tr>
      <w:tr>
        <w:tc>
          <w:tcPr>
            <w:tcW w:type="dxa" w:w="1378"/>
          </w:tcPr>
          <w:p>
            <w:r>
              <w:t>Rogers-Satchell</w:t>
            </w:r>
          </w:p>
        </w:tc>
        <w:tc>
          <w:tcPr>
            <w:tcW w:type="dxa" w:w="1378"/>
          </w:tcPr>
          <w:p>
            <w:r>
              <w:t>190</w:t>
            </w:r>
          </w:p>
        </w:tc>
        <w:tc>
          <w:tcPr>
            <w:tcW w:type="dxa" w:w="1378"/>
          </w:tcPr>
          <w:p>
            <w:r>
              <w:t>0.541</w:t>
            </w:r>
          </w:p>
        </w:tc>
        <w:tc>
          <w:tcPr>
            <w:tcW w:type="dxa" w:w="1378"/>
          </w:tcPr>
          <w:p>
            <w:r>
              <w:t>[0.432, 0.635]</w:t>
            </w:r>
          </w:p>
        </w:tc>
        <w:tc>
          <w:tcPr>
            <w:tcW w:type="dxa" w:w="1378"/>
          </w:tcPr>
          <w:p>
            <w:r>
              <w:t>0.566</w:t>
            </w:r>
          </w:p>
        </w:tc>
        <w:tc>
          <w:tcPr>
            <w:tcW w:type="dxa" w:w="1378"/>
          </w:tcPr>
          <w:p>
            <w:r>
              <w:t>0.293</w:t>
            </w:r>
          </w:p>
        </w:tc>
        <w:tc>
          <w:tcPr>
            <w:tcW w:type="dxa" w:w="1378"/>
          </w:tcPr>
          <w:p>
            <w:r>
              <w:t>0.188</w:t>
            </w:r>
          </w:p>
        </w:tc>
      </w:tr>
    </w:tbl>
    <w:p/>
    <w:p>
      <w:pPr/>
      <w:r>
        <w:t>Table 24. Lead-lag: the same India VIX observation against the 30 days before it and the 30 days after it, on identical origins.</w:t>
      </w:r>
    </w:p>
    <w:tbl>
      <w:tblPr>
        <w:tblStyle w:val="TableGrid"/>
        <w:tblW w:type="auto" w:w="0"/>
        <w:tblLook w:firstColumn="1" w:firstRow="1" w:lastColumn="0" w:lastRow="0" w:noHBand="0" w:noVBand="1" w:val="04A0"/>
      </w:tblPr>
      <w:tblGrid>
        <w:gridCol w:w="1930"/>
        <w:gridCol w:w="1930"/>
        <w:gridCol w:w="1930"/>
        <w:gridCol w:w="1930"/>
        <w:gridCol w:w="1930"/>
      </w:tblGrid>
      <w:tr>
        <w:trPr>
          <w:tblHeader/>
        </w:trPr>
        <w:tc>
          <w:tcPr>
            <w:tcW w:type="dxa" w:w="1930"/>
          </w:tcPr>
          <w:p>
            <w:r>
              <w:t>Estimator</w:t>
            </w:r>
          </w:p>
        </w:tc>
        <w:tc>
          <w:tcPr>
            <w:tcW w:type="dxa" w:w="1930"/>
          </w:tcPr>
          <w:p>
            <w:r>
              <w:t>Window relative to the VIX observation</w:t>
            </w:r>
          </w:p>
        </w:tc>
        <w:tc>
          <w:tcPr>
            <w:tcW w:type="dxa" w:w="1930"/>
          </w:tcPr>
          <w:p>
            <w:r>
              <w:t>Observations</w:t>
            </w:r>
          </w:p>
        </w:tc>
        <w:tc>
          <w:tcPr>
            <w:tcW w:type="dxa" w:w="1930"/>
          </w:tcPr>
          <w:p>
            <w:r>
              <w:t>Correlation with VIX</w:t>
            </w:r>
          </w:p>
        </w:tc>
        <w:tc>
          <w:tcPr>
            <w:tcW w:type="dxa" w:w="1930"/>
          </w:tcPr>
          <w:p>
            <w:r>
              <w:t>95% CI</w:t>
            </w:r>
          </w:p>
        </w:tc>
      </w:tr>
      <w:tr>
        <w:tc>
          <w:tcPr>
            <w:tcW w:type="dxa" w:w="1930"/>
          </w:tcPr>
          <w:p>
            <w:r>
              <w:t>Close-to-close</w:t>
            </w:r>
          </w:p>
        </w:tc>
        <w:tc>
          <w:tcPr>
            <w:tcW w:type="dxa" w:w="1930"/>
          </w:tcPr>
          <w:p>
            <w:r>
              <w:t>BACKWARD 30d (contains t)</w:t>
            </w:r>
          </w:p>
        </w:tc>
        <w:tc>
          <w:tcPr>
            <w:tcW w:type="dxa" w:w="1930"/>
          </w:tcPr>
          <w:p>
            <w:r>
              <w:t>189</w:t>
            </w:r>
          </w:p>
        </w:tc>
        <w:tc>
          <w:tcPr>
            <w:tcW w:type="dxa" w:w="1930"/>
          </w:tcPr>
          <w:p>
            <w:r>
              <w:t>0.806</w:t>
            </w:r>
          </w:p>
        </w:tc>
        <w:tc>
          <w:tcPr>
            <w:tcW w:type="dxa" w:w="1930"/>
          </w:tcPr>
          <w:p>
            <w:r>
              <w:t>[0.749, 0.850]</w:t>
            </w:r>
          </w:p>
        </w:tc>
      </w:tr>
      <w:tr>
        <w:tc>
          <w:tcPr>
            <w:tcW w:type="dxa" w:w="1930"/>
          </w:tcPr>
          <w:p>
            <w:r>
              <w:t>Close-to-close</w:t>
            </w:r>
          </w:p>
        </w:tc>
        <w:tc>
          <w:tcPr>
            <w:tcW w:type="dxa" w:w="1930"/>
          </w:tcPr>
          <w:p>
            <w:r>
              <w:t>FORWARD 30d (excludes t)</w:t>
            </w:r>
          </w:p>
        </w:tc>
        <w:tc>
          <w:tcPr>
            <w:tcW w:type="dxa" w:w="1930"/>
          </w:tcPr>
          <w:p>
            <w:r>
              <w:t>189</w:t>
            </w:r>
          </w:p>
        </w:tc>
        <w:tc>
          <w:tcPr>
            <w:tcW w:type="dxa" w:w="1930"/>
          </w:tcPr>
          <w:p>
            <w:r>
              <w:t>0.694</w:t>
            </w:r>
          </w:p>
        </w:tc>
        <w:tc>
          <w:tcPr>
            <w:tcW w:type="dxa" w:w="1930"/>
          </w:tcPr>
          <w:p>
            <w:r>
              <w:t>[0.612, 0.762]</w:t>
            </w:r>
          </w:p>
        </w:tc>
      </w:tr>
      <w:tr>
        <w:tc>
          <w:tcPr>
            <w:tcW w:type="dxa" w:w="1930"/>
          </w:tcPr>
          <w:p>
            <w:r>
              <w:t>Parkinson</w:t>
            </w:r>
          </w:p>
        </w:tc>
        <w:tc>
          <w:tcPr>
            <w:tcW w:type="dxa" w:w="1930"/>
          </w:tcPr>
          <w:p>
            <w:r>
              <w:t>BACKWARD 30d (contains t)</w:t>
            </w:r>
          </w:p>
        </w:tc>
        <w:tc>
          <w:tcPr>
            <w:tcW w:type="dxa" w:w="1930"/>
          </w:tcPr>
          <w:p>
            <w:r>
              <w:t>189</w:t>
            </w:r>
          </w:p>
        </w:tc>
        <w:tc>
          <w:tcPr>
            <w:tcW w:type="dxa" w:w="1930"/>
          </w:tcPr>
          <w:p>
            <w:r>
              <w:t>0.778</w:t>
            </w:r>
          </w:p>
        </w:tc>
        <w:tc>
          <w:tcPr>
            <w:tcW w:type="dxa" w:w="1930"/>
          </w:tcPr>
          <w:p>
            <w:r>
              <w:t>[0.714, 0.828]</w:t>
            </w:r>
          </w:p>
        </w:tc>
      </w:tr>
      <w:tr>
        <w:tc>
          <w:tcPr>
            <w:tcW w:type="dxa" w:w="1930"/>
          </w:tcPr>
          <w:p>
            <w:r>
              <w:t>Parkinson</w:t>
            </w:r>
          </w:p>
        </w:tc>
        <w:tc>
          <w:tcPr>
            <w:tcW w:type="dxa" w:w="1930"/>
          </w:tcPr>
          <w:p>
            <w:r>
              <w:t>FORWARD 30d (excludes t)</w:t>
            </w:r>
          </w:p>
        </w:tc>
        <w:tc>
          <w:tcPr>
            <w:tcW w:type="dxa" w:w="1930"/>
          </w:tcPr>
          <w:p>
            <w:r>
              <w:t>189</w:t>
            </w:r>
          </w:p>
        </w:tc>
        <w:tc>
          <w:tcPr>
            <w:tcW w:type="dxa" w:w="1930"/>
          </w:tcPr>
          <w:p>
            <w:r>
              <w:t>0.629</w:t>
            </w:r>
          </w:p>
        </w:tc>
        <w:tc>
          <w:tcPr>
            <w:tcW w:type="dxa" w:w="1930"/>
          </w:tcPr>
          <w:p>
            <w:r>
              <w:t>[0.534, 0.708]</w:t>
            </w:r>
          </w:p>
        </w:tc>
      </w:tr>
      <w:tr>
        <w:tc>
          <w:tcPr>
            <w:tcW w:type="dxa" w:w="1930"/>
          </w:tcPr>
          <w:p>
            <w:r>
              <w:t>Garman-Klass</w:t>
            </w:r>
          </w:p>
        </w:tc>
        <w:tc>
          <w:tcPr>
            <w:tcW w:type="dxa" w:w="1930"/>
          </w:tcPr>
          <w:p>
            <w:r>
              <w:t>BACKWARD 30d (contains t)</w:t>
            </w:r>
          </w:p>
        </w:tc>
        <w:tc>
          <w:tcPr>
            <w:tcW w:type="dxa" w:w="1930"/>
          </w:tcPr>
          <w:p>
            <w:r>
              <w:t>189</w:t>
            </w:r>
          </w:p>
        </w:tc>
        <w:tc>
          <w:tcPr>
            <w:tcW w:type="dxa" w:w="1930"/>
          </w:tcPr>
          <w:p>
            <w:r>
              <w:t>0.749</w:t>
            </w:r>
          </w:p>
        </w:tc>
        <w:tc>
          <w:tcPr>
            <w:tcW w:type="dxa" w:w="1930"/>
          </w:tcPr>
          <w:p>
            <w:r>
              <w:t>[0.679, 0.806]</w:t>
            </w:r>
          </w:p>
        </w:tc>
      </w:tr>
      <w:tr>
        <w:tc>
          <w:tcPr>
            <w:tcW w:type="dxa" w:w="1930"/>
          </w:tcPr>
          <w:p>
            <w:r>
              <w:t>Garman-Klass</w:t>
            </w:r>
          </w:p>
        </w:tc>
        <w:tc>
          <w:tcPr>
            <w:tcW w:type="dxa" w:w="1930"/>
          </w:tcPr>
          <w:p>
            <w:r>
              <w:t>FORWARD 30d (excludes t)</w:t>
            </w:r>
          </w:p>
        </w:tc>
        <w:tc>
          <w:tcPr>
            <w:tcW w:type="dxa" w:w="1930"/>
          </w:tcPr>
          <w:p>
            <w:r>
              <w:t>189</w:t>
            </w:r>
          </w:p>
        </w:tc>
        <w:tc>
          <w:tcPr>
            <w:tcW w:type="dxa" w:w="1930"/>
          </w:tcPr>
          <w:p>
            <w:r>
              <w:t>0.602</w:t>
            </w:r>
          </w:p>
        </w:tc>
        <w:tc>
          <w:tcPr>
            <w:tcW w:type="dxa" w:w="1930"/>
          </w:tcPr>
          <w:p>
            <w:r>
              <w:t>[0.502, 0.686]</w:t>
            </w:r>
          </w:p>
        </w:tc>
      </w:tr>
      <w:tr>
        <w:tc>
          <w:tcPr>
            <w:tcW w:type="dxa" w:w="1930"/>
          </w:tcPr>
          <w:p>
            <w:r>
              <w:t>Rogers-Satchell</w:t>
            </w:r>
          </w:p>
        </w:tc>
        <w:tc>
          <w:tcPr>
            <w:tcW w:type="dxa" w:w="1930"/>
          </w:tcPr>
          <w:p>
            <w:r>
              <w:t>BACKWARD 30d (contains t)</w:t>
            </w:r>
          </w:p>
        </w:tc>
        <w:tc>
          <w:tcPr>
            <w:tcW w:type="dxa" w:w="1930"/>
          </w:tcPr>
          <w:p>
            <w:r>
              <w:t>189</w:t>
            </w:r>
          </w:p>
        </w:tc>
        <w:tc>
          <w:tcPr>
            <w:tcW w:type="dxa" w:w="1930"/>
          </w:tcPr>
          <w:p>
            <w:r>
              <w:t>0.673</w:t>
            </w:r>
          </w:p>
        </w:tc>
        <w:tc>
          <w:tcPr>
            <w:tcW w:type="dxa" w:w="1930"/>
          </w:tcPr>
          <w:p>
            <w:r>
              <w:t>[0.587, 0.744]</w:t>
            </w:r>
          </w:p>
        </w:tc>
      </w:tr>
      <w:tr>
        <w:tc>
          <w:tcPr>
            <w:tcW w:type="dxa" w:w="1930"/>
          </w:tcPr>
          <w:p>
            <w:r>
              <w:t>Rogers-Satchell</w:t>
            </w:r>
          </w:p>
        </w:tc>
        <w:tc>
          <w:tcPr>
            <w:tcW w:type="dxa" w:w="1930"/>
          </w:tcPr>
          <w:p>
            <w:r>
              <w:t>FORWARD 30d (excludes t)</w:t>
            </w:r>
          </w:p>
        </w:tc>
        <w:tc>
          <w:tcPr>
            <w:tcW w:type="dxa" w:w="1930"/>
          </w:tcPr>
          <w:p>
            <w:r>
              <w:t>189</w:t>
            </w:r>
          </w:p>
        </w:tc>
        <w:tc>
          <w:tcPr>
            <w:tcW w:type="dxa" w:w="1930"/>
          </w:tcPr>
          <w:p>
            <w:r>
              <w:t>0.539</w:t>
            </w:r>
          </w:p>
        </w:tc>
        <w:tc>
          <w:tcPr>
            <w:tcW w:type="dxa" w:w="1930"/>
          </w:tcPr>
          <w:p>
            <w:r>
              <w:t>[0.429, 0.633]</w:t>
            </w:r>
          </w:p>
        </w:tc>
      </w:tr>
    </w:tbl>
    <w:p/>
    <w:p>
      <w:pPr/>
      <w:r>
        <w:t>Table 25. Forward-test sensitivity: daily overlapping windows with moving-block inference, and the direct Parkinson-versus-close-to-close comparison under the pre-committed decision rule.</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trPr>
        <w:tc>
          <w:tcPr>
            <w:tcW w:type="dxa" w:w="1608"/>
          </w:tcPr>
          <w:p>
            <w:r>
              <w:t>Specification</w:t>
            </w:r>
          </w:p>
        </w:tc>
        <w:tc>
          <w:tcPr>
            <w:tcW w:type="dxa" w:w="1608"/>
          </w:tcPr>
          <w:p>
            <w:r>
              <w:t>Series</w:t>
            </w:r>
          </w:p>
        </w:tc>
        <w:tc>
          <w:tcPr>
            <w:tcW w:type="dxa" w:w="1608"/>
          </w:tcPr>
          <w:p>
            <w:r>
              <w:t>Observations</w:t>
            </w:r>
          </w:p>
        </w:tc>
        <w:tc>
          <w:tcPr>
            <w:tcW w:type="dxa" w:w="1608"/>
          </w:tcPr>
          <w:p>
            <w:r>
              <w:t>Correlation with VIX</w:t>
            </w:r>
          </w:p>
        </w:tc>
        <w:tc>
          <w:tcPr>
            <w:tcW w:type="dxa" w:w="1608"/>
          </w:tcPr>
          <w:p>
            <w:r>
              <w:t>95% CI</w:t>
            </w:r>
          </w:p>
        </w:tc>
        <w:tc>
          <w:tcPr>
            <w:tcW w:type="dxa" w:w="1608"/>
          </w:tcPr>
          <w:p>
            <w:r>
              <w:t>Note</w:t>
            </w:r>
          </w:p>
        </w:tc>
      </w:tr>
      <w:tr>
        <w:tc>
          <w:tcPr>
            <w:tcW w:type="dxa" w:w="1608"/>
          </w:tcPr>
          <w:p>
            <w:r>
              <w:t>Overlapping windows (sensitivity)</w:t>
            </w:r>
          </w:p>
        </w:tc>
        <w:tc>
          <w:tcPr>
            <w:tcW w:type="dxa" w:w="1608"/>
          </w:tcPr>
          <w:p>
            <w:r>
              <w:t>Close-to-close</w:t>
            </w:r>
          </w:p>
        </w:tc>
        <w:tc>
          <w:tcPr>
            <w:tcW w:type="dxa" w:w="1608"/>
          </w:tcPr>
          <w:p>
            <w:r>
              <w:t>4,004</w:t>
            </w:r>
          </w:p>
        </w:tc>
        <w:tc>
          <w:tcPr>
            <w:tcW w:type="dxa" w:w="1608"/>
          </w:tcPr>
          <w:p>
            <w:r>
              <w:t>0.609</w:t>
            </w:r>
          </w:p>
        </w:tc>
        <w:tc>
          <w:tcPr>
            <w:tcW w:type="dxa" w:w="1608"/>
          </w:tcPr>
          <w:p>
            <w:r>
              <w:t>[0.467, 0.746]</w:t>
            </w:r>
          </w:p>
        </w:tc>
        <w:tc>
          <w:tcPr>
            <w:tcW w:type="dxa" w:w="1608"/>
          </w:tcPr>
          <w:p>
            <w:r>
              <w:t>moving-block bootstrap; consecutive windows share up to 29 days</w:t>
            </w:r>
          </w:p>
        </w:tc>
      </w:tr>
      <w:tr>
        <w:tc>
          <w:tcPr>
            <w:tcW w:type="dxa" w:w="1608"/>
          </w:tcPr>
          <w:p>
            <w:r>
              <w:t>Overlapping windows (sensitivity)</w:t>
            </w:r>
          </w:p>
        </w:tc>
        <w:tc>
          <w:tcPr>
            <w:tcW w:type="dxa" w:w="1608"/>
          </w:tcPr>
          <w:p>
            <w:r>
              <w:t>Parkinson</w:t>
            </w:r>
          </w:p>
        </w:tc>
        <w:tc>
          <w:tcPr>
            <w:tcW w:type="dxa" w:w="1608"/>
          </w:tcPr>
          <w:p>
            <w:r>
              <w:t>4,004</w:t>
            </w:r>
          </w:p>
        </w:tc>
        <w:tc>
          <w:tcPr>
            <w:tcW w:type="dxa" w:w="1608"/>
          </w:tcPr>
          <w:p>
            <w:r>
              <w:t>0.561</w:t>
            </w:r>
          </w:p>
        </w:tc>
        <w:tc>
          <w:tcPr>
            <w:tcW w:type="dxa" w:w="1608"/>
          </w:tcPr>
          <w:p>
            <w:r>
              <w:t>[0.434, 0.714]</w:t>
            </w:r>
          </w:p>
        </w:tc>
        <w:tc>
          <w:tcPr>
            <w:tcW w:type="dxa" w:w="1608"/>
          </w:tcPr>
          <w:p>
            <w:r>
              <w:t>moving-block bootstrap; consecutive windows share up to 29 days</w:t>
            </w:r>
          </w:p>
        </w:tc>
      </w:tr>
      <w:tr>
        <w:tc>
          <w:tcPr>
            <w:tcW w:type="dxa" w:w="1608"/>
          </w:tcPr>
          <w:p>
            <w:r>
              <w:t>Overlapping windows (sensitivity)</w:t>
            </w:r>
          </w:p>
        </w:tc>
        <w:tc>
          <w:tcPr>
            <w:tcW w:type="dxa" w:w="1608"/>
          </w:tcPr>
          <w:p>
            <w:r>
              <w:t>Garman-Klass</w:t>
            </w:r>
          </w:p>
        </w:tc>
        <w:tc>
          <w:tcPr>
            <w:tcW w:type="dxa" w:w="1608"/>
          </w:tcPr>
          <w:p>
            <w:r>
              <w:t>4,004</w:t>
            </w:r>
          </w:p>
        </w:tc>
        <w:tc>
          <w:tcPr>
            <w:tcW w:type="dxa" w:w="1608"/>
          </w:tcPr>
          <w:p>
            <w:r>
              <w:t>0.539</w:t>
            </w:r>
          </w:p>
        </w:tc>
        <w:tc>
          <w:tcPr>
            <w:tcW w:type="dxa" w:w="1608"/>
          </w:tcPr>
          <w:p>
            <w:r>
              <w:t>[0.404, 0.713]</w:t>
            </w:r>
          </w:p>
        </w:tc>
        <w:tc>
          <w:tcPr>
            <w:tcW w:type="dxa" w:w="1608"/>
          </w:tcPr>
          <w:p>
            <w:r>
              <w:t>moving-block bootstrap; consecutive windows share up to 29 days</w:t>
            </w:r>
          </w:p>
        </w:tc>
      </w:tr>
      <w:tr>
        <w:tc>
          <w:tcPr>
            <w:tcW w:type="dxa" w:w="1608"/>
          </w:tcPr>
          <w:p>
            <w:r>
              <w:t>Overlapping windows (sensitivity)</w:t>
            </w:r>
          </w:p>
        </w:tc>
        <w:tc>
          <w:tcPr>
            <w:tcW w:type="dxa" w:w="1608"/>
          </w:tcPr>
          <w:p>
            <w:r>
              <w:t>Rogers-Satchell</w:t>
            </w:r>
          </w:p>
        </w:tc>
        <w:tc>
          <w:tcPr>
            <w:tcW w:type="dxa" w:w="1608"/>
          </w:tcPr>
          <w:p>
            <w:r>
              <w:t>4,004</w:t>
            </w:r>
          </w:p>
        </w:tc>
        <w:tc>
          <w:tcPr>
            <w:tcW w:type="dxa" w:w="1608"/>
          </w:tcPr>
          <w:p>
            <w:r>
              <w:t>0.491</w:t>
            </w:r>
          </w:p>
        </w:tc>
        <w:tc>
          <w:tcPr>
            <w:tcW w:type="dxa" w:w="1608"/>
          </w:tcPr>
          <w:p>
            <w:r>
              <w:t>[0.331, 0.705]</w:t>
            </w:r>
          </w:p>
        </w:tc>
        <w:tc>
          <w:tcPr>
            <w:tcW w:type="dxa" w:w="1608"/>
          </w:tcPr>
          <w:p>
            <w:r>
              <w:t>moving-block bootstrap; consecutive windows share up to 29 days</w:t>
            </w:r>
          </w:p>
        </w:tc>
      </w:tr>
      <w:tr>
        <w:tc>
          <w:tcPr>
            <w:tcW w:type="dxa" w:w="1608"/>
          </w:tcPr>
          <w:p>
            <w:r>
              <w:t>Direct comparison (primary, non-overlapping)</w:t>
            </w:r>
          </w:p>
        </w:tc>
        <w:tc>
          <w:tcPr>
            <w:tcW w:type="dxa" w:w="1608"/>
          </w:tcPr>
          <w:p>
            <w:r>
              <w:t>Parkinson minus close-to-close</w:t>
            </w:r>
          </w:p>
        </w:tc>
        <w:tc>
          <w:tcPr>
            <w:tcW w:type="dxa" w:w="1608"/>
          </w:tcPr>
          <w:p>
            <w:r>
              <w:t>190</w:t>
            </w:r>
          </w:p>
        </w:tc>
        <w:tc>
          <w:tcPr>
            <w:tcW w:type="dxa" w:w="1608"/>
          </w:tcPr>
          <w:p>
            <w:r>
              <w:t>-0.064</w:t>
            </w:r>
          </w:p>
        </w:tc>
        <w:tc>
          <w:tcPr>
            <w:tcW w:type="dxa" w:w="1608"/>
          </w:tcPr>
          <w:p>
            <w:r>
              <w:t>[-0.169, 0.065]</w:t>
            </w:r>
          </w:p>
        </w:tc>
        <w:tc>
          <w:tcPr>
            <w:tcW w:type="dxa" w:w="1608"/>
          </w:tcPr>
          <w:p>
            <w:r>
              <w:t>inconclusive: the difference interval contains zero</w:t>
            </w:r>
          </w:p>
        </w:tc>
      </w:tr>
    </w:tbl>
    <w:p/>
    <w:p>
      <w:pPr/>
      <w:r>
        <w:t>Table 26. Forecast error: India VIX at t against realised volatility over (t, t+30 calendar days]. A calibration slope below one does not establish overprediction; these quantities do.</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rPr>
          <w:tblHeader/>
        </w:trPr>
        <w:tc>
          <w:tcPr>
            <w:tcW w:type="dxa" w:w="965"/>
          </w:tcPr>
          <w:p>
            <w:r>
              <w:t>Estimator</w:t>
            </w:r>
          </w:p>
        </w:tc>
        <w:tc>
          <w:tcPr>
            <w:tcW w:type="dxa" w:w="965"/>
          </w:tcPr>
          <w:p>
            <w:r>
              <w:t>Windows</w:t>
            </w:r>
          </w:p>
        </w:tc>
        <w:tc>
          <w:tcPr>
            <w:tcW w:type="dxa" w:w="965"/>
          </w:tcPr>
          <w:p>
            <w:r>
              <w:t>Mean VIX − RV (vol pts)</w:t>
            </w:r>
          </w:p>
        </w:tc>
        <w:tc>
          <w:tcPr>
            <w:tcW w:type="dxa" w:w="965"/>
          </w:tcPr>
          <w:p>
            <w:r>
              <w:t>95% CI</w:t>
            </w:r>
          </w:p>
        </w:tc>
        <w:tc>
          <w:tcPr>
            <w:tcW w:type="dxa" w:w="965"/>
          </w:tcPr>
          <w:p>
            <w:r>
              <w:t>Median VIX − RV</w:t>
            </w:r>
          </w:p>
        </w:tc>
        <w:tc>
          <w:tcPr>
            <w:tcW w:type="dxa" w:w="965"/>
          </w:tcPr>
          <w:p>
            <w:r>
              <w:t>Mean VIX / RV</w:t>
            </w:r>
          </w:p>
        </w:tc>
        <w:tc>
          <w:tcPr>
            <w:tcW w:type="dxa" w:w="965"/>
          </w:tcPr>
          <w:p>
            <w:r>
              <w:t>95% CI (ratio)</w:t>
            </w:r>
          </w:p>
        </w:tc>
        <w:tc>
          <w:tcPr>
            <w:tcW w:type="dxa" w:w="965"/>
          </w:tcPr>
          <w:p>
            <w:r>
              <w:t>Windows with VIX &gt; RV</w:t>
            </w:r>
          </w:p>
        </w:tc>
        <w:tc>
          <w:tcPr>
            <w:tcW w:type="dxa" w:w="965"/>
          </w:tcPr>
          <w:p>
            <w:r>
              <w:t>Intercept</w:t>
            </w:r>
          </w:p>
        </w:tc>
        <w:tc>
          <w:tcPr>
            <w:tcW w:type="dxa" w:w="965"/>
          </w:tcPr>
          <w:p>
            <w:r>
              <w:t>Slope</w:t>
            </w:r>
          </w:p>
        </w:tc>
      </w:tr>
      <w:tr>
        <w:tc>
          <w:tcPr>
            <w:tcW w:type="dxa" w:w="965"/>
          </w:tcPr>
          <w:p>
            <w:r>
              <w:t>Close-to-close</w:t>
            </w:r>
          </w:p>
        </w:tc>
        <w:tc>
          <w:tcPr>
            <w:tcW w:type="dxa" w:w="965"/>
          </w:tcPr>
          <w:p>
            <w:r>
              <w:t>190</w:t>
            </w:r>
          </w:p>
        </w:tc>
        <w:tc>
          <w:tcPr>
            <w:tcW w:type="dxa" w:w="965"/>
          </w:tcPr>
          <w:p>
            <w:r>
              <w:t>2.99</w:t>
            </w:r>
          </w:p>
        </w:tc>
        <w:tc>
          <w:tcPr>
            <w:tcW w:type="dxa" w:w="965"/>
          </w:tcPr>
          <w:p>
            <w:r>
              <w:t>[2.19, 3.77]</w:t>
            </w:r>
          </w:p>
        </w:tc>
        <w:tc>
          <w:tcPr>
            <w:tcW w:type="dxa" w:w="965"/>
          </w:tcPr>
          <w:p>
            <w:r>
              <w:t>3.29</w:t>
            </w:r>
          </w:p>
        </w:tc>
        <w:tc>
          <w:tcPr>
            <w:tcW w:type="dxa" w:w="965"/>
          </w:tcPr>
          <w:p>
            <w:r>
              <w:t>1.291</w:t>
            </w:r>
          </w:p>
        </w:tc>
        <w:tc>
          <w:tcPr>
            <w:tcW w:type="dxa" w:w="965"/>
          </w:tcPr>
          <w:p>
            <w:r>
              <w:t>[1.247, 1.339]</w:t>
            </w:r>
          </w:p>
        </w:tc>
        <w:tc>
          <w:tcPr>
            <w:tcW w:type="dxa" w:w="965"/>
          </w:tcPr>
          <w:p>
            <w:r>
              <w:t>82%</w:t>
            </w:r>
          </w:p>
        </w:tc>
        <w:tc>
          <w:tcPr>
            <w:tcW w:type="dxa" w:w="965"/>
          </w:tcPr>
          <w:p>
            <w:r>
              <w:t>-0.212</w:t>
            </w:r>
          </w:p>
        </w:tc>
        <w:tc>
          <w:tcPr>
            <w:tcW w:type="dxa" w:w="965"/>
          </w:tcPr>
          <w:p>
            <w:r>
              <w:t>0.844</w:t>
            </w:r>
          </w:p>
        </w:tc>
      </w:tr>
      <w:tr>
        <w:tc>
          <w:tcPr>
            <w:tcW w:type="dxa" w:w="965"/>
          </w:tcPr>
          <w:p>
            <w:r>
              <w:t>Parkinson</w:t>
            </w:r>
          </w:p>
        </w:tc>
        <w:tc>
          <w:tcPr>
            <w:tcW w:type="dxa" w:w="965"/>
          </w:tcPr>
          <w:p>
            <w:r>
              <w:t>190</w:t>
            </w:r>
          </w:p>
        </w:tc>
        <w:tc>
          <w:tcPr>
            <w:tcW w:type="dxa" w:w="965"/>
          </w:tcPr>
          <w:p>
            <w:r>
              <w:t>5.41</w:t>
            </w:r>
          </w:p>
        </w:tc>
        <w:tc>
          <w:tcPr>
            <w:tcW w:type="dxa" w:w="965"/>
          </w:tcPr>
          <w:p>
            <w:r>
              <w:t>[4.63, 6.08]</w:t>
            </w:r>
          </w:p>
        </w:tc>
        <w:tc>
          <w:tcPr>
            <w:tcW w:type="dxa" w:w="965"/>
          </w:tcPr>
          <w:p>
            <w:r>
              <w:t>5.53</w:t>
            </w:r>
          </w:p>
        </w:tc>
        <w:tc>
          <w:tcPr>
            <w:tcW w:type="dxa" w:w="965"/>
          </w:tcPr>
          <w:p>
            <w:r>
              <w:t>1.523</w:t>
            </w:r>
          </w:p>
        </w:tc>
        <w:tc>
          <w:tcPr>
            <w:tcW w:type="dxa" w:w="965"/>
          </w:tcPr>
          <w:p>
            <w:r>
              <w:t>[1.475, 1.574]</w:t>
            </w:r>
          </w:p>
        </w:tc>
        <w:tc>
          <w:tcPr>
            <w:tcW w:type="dxa" w:w="965"/>
          </w:tcPr>
          <w:p>
            <w:r>
              <w:t>94%</w:t>
            </w:r>
          </w:p>
        </w:tc>
        <w:tc>
          <w:tcPr>
            <w:tcW w:type="dxa" w:w="965"/>
          </w:tcPr>
          <w:p>
            <w:r>
              <w:t>1.812</w:t>
            </w:r>
          </w:p>
        </w:tc>
        <w:tc>
          <w:tcPr>
            <w:tcW w:type="dxa" w:w="965"/>
          </w:tcPr>
          <w:p>
            <w:r>
              <w:t>0.595</w:t>
            </w:r>
          </w:p>
        </w:tc>
      </w:tr>
      <w:tr>
        <w:tc>
          <w:tcPr>
            <w:tcW w:type="dxa" w:w="965"/>
          </w:tcPr>
          <w:p>
            <w:r>
              <w:t>Garman-Klass</w:t>
            </w:r>
          </w:p>
        </w:tc>
        <w:tc>
          <w:tcPr>
            <w:tcW w:type="dxa" w:w="965"/>
          </w:tcPr>
          <w:p>
            <w:r>
              <w:t>190</w:t>
            </w:r>
          </w:p>
        </w:tc>
        <w:tc>
          <w:tcPr>
            <w:tcW w:type="dxa" w:w="965"/>
          </w:tcPr>
          <w:p>
            <w:r>
              <w:t>5.55</w:t>
            </w:r>
          </w:p>
        </w:tc>
        <w:tc>
          <w:tcPr>
            <w:tcW w:type="dxa" w:w="965"/>
          </w:tcPr>
          <w:p>
            <w:r>
              <w:t>[4.81, 6.29]</w:t>
            </w:r>
          </w:p>
        </w:tc>
        <w:tc>
          <w:tcPr>
            <w:tcW w:type="dxa" w:w="965"/>
          </w:tcPr>
          <w:p>
            <w:r>
              <w:t>5.59</w:t>
            </w:r>
          </w:p>
        </w:tc>
        <w:tc>
          <w:tcPr>
            <w:tcW w:type="dxa" w:w="965"/>
          </w:tcPr>
          <w:p>
            <w:r>
              <w:t>1.541</w:t>
            </w:r>
          </w:p>
        </w:tc>
        <w:tc>
          <w:tcPr>
            <w:tcW w:type="dxa" w:w="965"/>
          </w:tcPr>
          <w:p>
            <w:r>
              <w:t>[1.488, 1.591]</w:t>
            </w:r>
          </w:p>
        </w:tc>
        <w:tc>
          <w:tcPr>
            <w:tcW w:type="dxa" w:w="965"/>
          </w:tcPr>
          <w:p>
            <w:r>
              <w:t>94%</w:t>
            </w:r>
          </w:p>
        </w:tc>
        <w:tc>
          <w:tcPr>
            <w:tcW w:type="dxa" w:w="965"/>
          </w:tcPr>
          <w:p>
            <w:r>
              <w:t>1.940</w:t>
            </w:r>
          </w:p>
        </w:tc>
        <w:tc>
          <w:tcPr>
            <w:tcW w:type="dxa" w:w="965"/>
          </w:tcPr>
          <w:p>
            <w:r>
              <w:t>0.579</w:t>
            </w:r>
          </w:p>
        </w:tc>
      </w:tr>
      <w:tr>
        <w:tc>
          <w:tcPr>
            <w:tcW w:type="dxa" w:w="965"/>
          </w:tcPr>
          <w:p>
            <w:r>
              <w:t>Rogers-Satchell</w:t>
            </w:r>
          </w:p>
        </w:tc>
        <w:tc>
          <w:tcPr>
            <w:tcW w:type="dxa" w:w="965"/>
          </w:tcPr>
          <w:p>
            <w:r>
              <w:t>190</w:t>
            </w:r>
          </w:p>
        </w:tc>
        <w:tc>
          <w:tcPr>
            <w:tcW w:type="dxa" w:w="965"/>
          </w:tcPr>
          <w:p>
            <w:r>
              <w:t>5.60</w:t>
            </w:r>
          </w:p>
        </w:tc>
        <w:tc>
          <w:tcPr>
            <w:tcW w:type="dxa" w:w="965"/>
          </w:tcPr>
          <w:p>
            <w:r>
              <w:t>[4.73, 6.38]</w:t>
            </w:r>
          </w:p>
        </w:tc>
        <w:tc>
          <w:tcPr>
            <w:tcW w:type="dxa" w:w="965"/>
          </w:tcPr>
          <w:p>
            <w:r>
              <w:t>5.66</w:t>
            </w:r>
          </w:p>
        </w:tc>
        <w:tc>
          <w:tcPr>
            <w:tcW w:type="dxa" w:w="965"/>
          </w:tcPr>
          <w:p>
            <w:r>
              <w:t>1.561</w:t>
            </w:r>
          </w:p>
        </w:tc>
        <w:tc>
          <w:tcPr>
            <w:tcW w:type="dxa" w:w="965"/>
          </w:tcPr>
          <w:p>
            <w:r>
              <w:t>[1.508, 1.617]</w:t>
            </w:r>
          </w:p>
        </w:tc>
        <w:tc>
          <w:tcPr>
            <w:tcW w:type="dxa" w:w="965"/>
          </w:tcPr>
          <w:p>
            <w:r>
              <w:t>95%</w:t>
            </w:r>
          </w:p>
        </w:tc>
        <w:tc>
          <w:tcPr>
            <w:tcW w:type="dxa" w:w="965"/>
          </w:tcPr>
          <w:p>
            <w:r>
              <w:t>2.128</w:t>
            </w:r>
          </w:p>
        </w:tc>
        <w:tc>
          <w:tcPr>
            <w:tcW w:type="dxa" w:w="965"/>
          </w:tcPr>
          <w:p>
            <w:r>
              <w:t>0.566</w:t>
            </w:r>
          </w:p>
        </w:tc>
      </w:tr>
    </w:tbl>
    <w:p/>
    <w:p>
      <w:pPr/>
      <w:r>
        <w:t>Table 27. Why the estimator comparison must be paired: the two correlations share their VIX observations and windows, and their outcomes are highly correlated.</w:t>
      </w:r>
    </w:p>
    <w:tbl>
      <w:tblPr>
        <w:tblStyle w:val="TableGrid"/>
        <w:tblW w:type="auto" w:w="0"/>
        <w:tblLook w:firstColumn="1" w:firstRow="1" w:lastColumn="0" w:lastRow="0" w:noHBand="0" w:noVBand="1" w:val="04A0"/>
      </w:tblPr>
      <w:tblGrid>
        <w:gridCol w:w="2412"/>
        <w:gridCol w:w="2412"/>
        <w:gridCol w:w="2412"/>
        <w:gridCol w:w="2412"/>
      </w:tblGrid>
      <w:tr>
        <w:trPr>
          <w:tblHeader/>
        </w:trPr>
        <w:tc>
          <w:tcPr>
            <w:tcW w:type="dxa" w:w="2412"/>
          </w:tcPr>
          <w:p>
            <w:r>
              <w:t>Quantity</w:t>
            </w:r>
          </w:p>
        </w:tc>
        <w:tc>
          <w:tcPr>
            <w:tcW w:type="dxa" w:w="2412"/>
          </w:tcPr>
          <w:p>
            <w:r>
              <w:t>Value</w:t>
            </w:r>
          </w:p>
        </w:tc>
        <w:tc>
          <w:tcPr>
            <w:tcW w:type="dxa" w:w="2412"/>
          </w:tcPr>
          <w:p>
            <w:r>
              <w:t>95% CI</w:t>
            </w:r>
          </w:p>
        </w:tc>
        <w:tc>
          <w:tcPr>
            <w:tcW w:type="dxa" w:w="2412"/>
          </w:tcPr>
          <w:p>
            <w:r>
              <w:t>Note</w:t>
            </w:r>
          </w:p>
        </w:tc>
      </w:tr>
      <w:tr>
        <w:tc>
          <w:tcPr>
            <w:tcW w:type="dxa" w:w="2412"/>
          </w:tcPr>
          <w:p>
            <w:r>
              <w:t>correlation between the two OUTCOMES (Parkinson vs close-to-close forward RV)</w:t>
            </w:r>
          </w:p>
        </w:tc>
        <w:tc>
          <w:tcPr>
            <w:tcW w:type="dxa" w:w="2412"/>
          </w:tcPr>
          <w:p>
            <w:r>
              <w:t>0.889</w:t>
            </w:r>
          </w:p>
        </w:tc>
        <w:tc>
          <w:tcPr>
            <w:tcW w:type="dxa" w:w="2412"/>
          </w:tcPr>
          <w:p>
            <w:r/>
          </w:p>
        </w:tc>
        <w:tc>
          <w:tcPr>
            <w:tcW w:type="dxa" w:w="2412"/>
          </w:tcPr>
          <w:p>
            <w:r>
              <w:t>high, which is exactly why the two correlations may not be treated as independent</w:t>
            </w:r>
          </w:p>
        </w:tc>
      </w:tr>
      <w:tr>
        <w:tc>
          <w:tcPr>
            <w:tcW w:type="dxa" w:w="2412"/>
          </w:tcPr>
          <w:p>
            <w:r>
              <w:t>difference in correlation, PAIRED bootstrap (used)</w:t>
            </w:r>
          </w:p>
        </w:tc>
        <w:tc>
          <w:tcPr>
            <w:tcW w:type="dxa" w:w="2412"/>
          </w:tcPr>
          <w:p>
            <w:r>
              <w:t>-0.064</w:t>
            </w:r>
          </w:p>
        </w:tc>
        <w:tc>
          <w:tcPr>
            <w:tcW w:type="dxa" w:w="2412"/>
          </w:tcPr>
          <w:p>
            <w:r>
              <w:t>[-0.169, 0.065]</w:t>
            </w:r>
          </w:p>
        </w:tc>
        <w:tc>
          <w:tcPr>
            <w:tcW w:type="dxa" w:w="2412"/>
          </w:tcPr>
          <w:p>
            <w:r>
              <w:t>one resampled index applied to VIX, Parkinson and close-to-close together, so the shared observations and shared windows are preserved</w:t>
            </w:r>
          </w:p>
        </w:tc>
      </w:tr>
      <w:tr>
        <w:tc>
          <w:tcPr>
            <w:tcW w:type="dxa" w:w="2412"/>
          </w:tcPr>
          <w:p>
            <w:r>
              <w:t>difference in correlation, INDEPENDENT bootstrap (invalid, shown for contrast)</w:t>
            </w:r>
          </w:p>
        </w:tc>
        <w:tc>
          <w:tcPr>
            <w:tcW w:type="dxa" w:w="2412"/>
          </w:tcPr>
          <w:p>
            <w:r>
              <w:t>-0.064</w:t>
            </w:r>
          </w:p>
        </w:tc>
        <w:tc>
          <w:tcPr>
            <w:tcW w:type="dxa" w:w="2412"/>
          </w:tcPr>
          <w:p>
            <w:r>
              <w:t>[-0.381, 0.266]</w:t>
            </w:r>
          </w:p>
        </w:tc>
        <w:tc>
          <w:tcPr>
            <w:tcW w:type="dxa" w:w="2412"/>
          </w:tcPr>
          <w:p>
            <w:r>
              <w:t>two separate indices; ignores that both correlations use the same VIX observations and the same windows, and overstates the width</w:t>
            </w:r>
          </w:p>
        </w:tc>
      </w:tr>
      <w:tr>
        <w:tc>
          <w:tcPr>
            <w:tcW w:type="dxa" w:w="2412"/>
          </w:tcPr>
          <w:p>
            <w:r>
              <w:t>difference in Fisher z, PAIRED bootstrap (variance-stabilised)</w:t>
            </w:r>
          </w:p>
        </w:tc>
        <w:tc>
          <w:tcPr>
            <w:tcW w:type="dxa" w:w="2412"/>
          </w:tcPr>
          <w:p>
            <w:r>
              <w:t>-0.114</w:t>
            </w:r>
          </w:p>
        </w:tc>
        <w:tc>
          <w:tcPr>
            <w:tcW w:type="dxa" w:w="2412"/>
          </w:tcPr>
          <w:p>
            <w:r>
              <w:t>[-0.281, 0.135]</w:t>
            </w:r>
          </w:p>
        </w:tc>
        <w:tc>
          <w:tcPr>
            <w:tcW w:type="dxa" w:w="2412"/>
          </w:tcPr>
          <w:p>
            <w:r>
              <w:t>same pairing, on the Fisher scale, in case the percentile method on raw correlations is the source of the disagreement below</w:t>
            </w:r>
          </w:p>
        </w:tc>
      </w:tr>
      <w:tr>
        <w:tc>
          <w:tcPr>
            <w:tcW w:type="dxa" w:w="2412"/>
          </w:tcPr>
          <w:p>
            <w:r>
              <w:t>Williams' t for two dependent correlations sharing one variable</w:t>
            </w:r>
          </w:p>
        </w:tc>
        <w:tc>
          <w:tcPr>
            <w:tcW w:type="dxa" w:w="2412"/>
          </w:tcPr>
          <w:p>
            <w:r>
              <w:t>-2.587</w:t>
            </w:r>
          </w:p>
        </w:tc>
        <w:tc>
          <w:tcPr>
            <w:tcW w:type="dxa" w:w="2412"/>
          </w:tcPr>
          <w:p>
            <w:r/>
          </w:p>
        </w:tc>
        <w:tc>
          <w:tcPr>
            <w:tcW w:type="dxa" w:w="2412"/>
          </w:tcPr>
          <w:p>
            <w:r>
              <w:t>analytic cross-check, df = n-3 = 187. |t| = 2.59 EXCEEDS 1.96, so this test DISAGREES with the paired bootstrap and favours close-to-close. Williams' t assumes trivariate normality; realised volatility and VIX are strongly right-skewed, so the bootstrap is the more trustworthy of the two here. Both agree on the direction and both refuse to support Parkinson; they differ only on whether close-to-close's advantage is distinguishable. The frozen decision rule is stated on the bootstrap interval, so the outcome remains inconclusive.</w:t>
            </w:r>
          </w:p>
        </w:tc>
      </w:tr>
    </w:tbl>
    <w:p/>
    <w:p>
      <w:pPr/>
      <w:r>
        <w:t>Table 28. Serial dependence of the non-overlapping forecast origins, and what assuming independence would have cost: analytic Fisher-z intervals against paired stationary block-bootstrap ones.</w:t>
      </w:r>
    </w:p>
    <w:tbl>
      <w:tblPr>
        <w:tblStyle w:val="TableGrid"/>
        <w:tblW w:type="auto" w:w="0"/>
        <w:tblLook w:firstColumn="1" w:firstRow="1" w:lastColumn="0" w:lastRow="0" w:noHBand="0" w:noVBand="1" w:val="04A0"/>
      </w:tblPr>
      <w:tblGrid>
        <w:gridCol w:w="1930"/>
        <w:gridCol w:w="1930"/>
        <w:gridCol w:w="1930"/>
        <w:gridCol w:w="1930"/>
        <w:gridCol w:w="1930"/>
      </w:tblGrid>
      <w:tr>
        <w:trPr>
          <w:tblHeader/>
        </w:trPr>
        <w:tc>
          <w:tcPr>
            <w:tcW w:type="dxa" w:w="1930"/>
          </w:tcPr>
          <w:p>
            <w:r>
              <w:t>Quantity</w:t>
            </w:r>
          </w:p>
        </w:tc>
        <w:tc>
          <w:tcPr>
            <w:tcW w:type="dxa" w:w="1930"/>
          </w:tcPr>
          <w:p>
            <w:r>
              <w:t>Series</w:t>
            </w:r>
          </w:p>
        </w:tc>
        <w:tc>
          <w:tcPr>
            <w:tcW w:type="dxa" w:w="1930"/>
          </w:tcPr>
          <w:p>
            <w:r>
              <w:t>Value</w:t>
            </w:r>
          </w:p>
        </w:tc>
        <w:tc>
          <w:tcPr>
            <w:tcW w:type="dxa" w:w="1930"/>
          </w:tcPr>
          <w:p>
            <w:r>
              <w:t>95% CI</w:t>
            </w:r>
          </w:p>
        </w:tc>
        <w:tc>
          <w:tcPr>
            <w:tcW w:type="dxa" w:w="1930"/>
          </w:tcPr>
          <w:p>
            <w:r>
              <w:t>Note</w:t>
            </w:r>
          </w:p>
        </w:tc>
      </w:tr>
      <w:tr>
        <w:tc>
          <w:tcPr>
            <w:tcW w:type="dxa" w:w="1930"/>
          </w:tcPr>
          <w:p>
            <w:r>
              <w:t>Lag-1 autocorrelation of the non-overlapping origins</w:t>
            </w:r>
          </w:p>
        </w:tc>
        <w:tc>
          <w:tcPr>
            <w:tcW w:type="dxa" w:w="1930"/>
          </w:tcPr>
          <w:p>
            <w:r>
              <w:t>India VIX at the primary origins</w:t>
            </w:r>
          </w:p>
        </w:tc>
        <w:tc>
          <w:tcPr>
            <w:tcW w:type="dxa" w:w="1930"/>
          </w:tcPr>
          <w:p>
            <w:r>
              <w:t>0.646</w:t>
            </w:r>
          </w:p>
        </w:tc>
        <w:tc>
          <w:tcPr>
            <w:tcW w:type="dxa" w:w="1930"/>
          </w:tcPr>
          <w:p>
            <w:r/>
          </w:p>
        </w:tc>
        <w:tc>
          <w:tcPr>
            <w:tcW w:type="dxa" w:w="1930"/>
          </w:tcPr>
          <w:p>
            <w:r/>
          </w:p>
        </w:tc>
      </w:tr>
      <w:tr>
        <w:tc>
          <w:tcPr>
            <w:tcW w:type="dxa" w:w="1930"/>
          </w:tcPr>
          <w:p>
            <w:r>
              <w:t>Lag-1 autocorrelation of the non-overlapping origins</w:t>
            </w:r>
          </w:p>
        </w:tc>
        <w:tc>
          <w:tcPr>
            <w:tcW w:type="dxa" w:w="1930"/>
          </w:tcPr>
          <w:p>
            <w:r>
              <w:t>forward realised volatility, close-to-close</w:t>
            </w:r>
          </w:p>
        </w:tc>
        <w:tc>
          <w:tcPr>
            <w:tcW w:type="dxa" w:w="1930"/>
          </w:tcPr>
          <w:p>
            <w:r>
              <w:t>0.537</w:t>
            </w:r>
          </w:p>
        </w:tc>
        <w:tc>
          <w:tcPr>
            <w:tcW w:type="dxa" w:w="1930"/>
          </w:tcPr>
          <w:p>
            <w:r/>
          </w:p>
        </w:tc>
        <w:tc>
          <w:tcPr>
            <w:tcW w:type="dxa" w:w="1930"/>
          </w:tcPr>
          <w:p>
            <w:r/>
          </w:p>
        </w:tc>
      </w:tr>
      <w:tr>
        <w:tc>
          <w:tcPr>
            <w:tcW w:type="dxa" w:w="1930"/>
          </w:tcPr>
          <w:p>
            <w:r>
              <w:t>Lag-1 autocorrelation of the non-overlapping origins</w:t>
            </w:r>
          </w:p>
        </w:tc>
        <w:tc>
          <w:tcPr>
            <w:tcW w:type="dxa" w:w="1930"/>
          </w:tcPr>
          <w:p>
            <w:r>
              <w:t>forward realised volatility, Parkinson</w:t>
            </w:r>
          </w:p>
        </w:tc>
        <w:tc>
          <w:tcPr>
            <w:tcW w:type="dxa" w:w="1930"/>
          </w:tcPr>
          <w:p>
            <w:r>
              <w:t>0.475</w:t>
            </w:r>
          </w:p>
        </w:tc>
        <w:tc>
          <w:tcPr>
            <w:tcW w:type="dxa" w:w="1930"/>
          </w:tcPr>
          <w:p>
            <w:r/>
          </w:p>
        </w:tc>
        <w:tc>
          <w:tcPr>
            <w:tcW w:type="dxa" w:w="1930"/>
          </w:tcPr>
          <w:p>
            <w:r/>
          </w:p>
        </w:tc>
      </w:tr>
      <w:tr>
        <w:tc>
          <w:tcPr>
            <w:tcW w:type="dxa" w:w="1930"/>
          </w:tcPr>
          <w:p>
            <w:r>
              <w:t>Lag-1 autocorrelation of the non-overlapping origins</w:t>
            </w:r>
          </w:p>
        </w:tc>
        <w:tc>
          <w:tcPr>
            <w:tcW w:type="dxa" w:w="1930"/>
          </w:tcPr>
          <w:p>
            <w:r>
              <w:t>forecast error VIX - RV, close-to-close</w:t>
            </w:r>
          </w:p>
        </w:tc>
        <w:tc>
          <w:tcPr>
            <w:tcW w:type="dxa" w:w="1930"/>
          </w:tcPr>
          <w:p>
            <w:r>
              <w:t>0.262</w:t>
            </w:r>
          </w:p>
        </w:tc>
        <w:tc>
          <w:tcPr>
            <w:tcW w:type="dxa" w:w="1930"/>
          </w:tcPr>
          <w:p>
            <w:r/>
          </w:p>
        </w:tc>
        <w:tc>
          <w:tcPr>
            <w:tcW w:type="dxa" w:w="1930"/>
          </w:tcPr>
          <w:p>
            <w:r/>
          </w:p>
        </w:tc>
      </w:tr>
      <w:tr>
        <w:tc>
          <w:tcPr>
            <w:tcW w:type="dxa" w:w="1930"/>
          </w:tcPr>
          <w:p>
            <w:r>
              <w:t>Correlation interval: analytic Fisher-z (assumes normality AND independence)</w:t>
            </w:r>
          </w:p>
        </w:tc>
        <w:tc>
          <w:tcPr>
            <w:tcW w:type="dxa" w:w="1930"/>
          </w:tcPr>
          <w:p>
            <w:r>
              <w:t>Close-to-close</w:t>
            </w:r>
          </w:p>
        </w:tc>
        <w:tc>
          <w:tcPr>
            <w:tcW w:type="dxa" w:w="1930"/>
          </w:tcPr>
          <w:p>
            <w:r>
              <w:t>0.695</w:t>
            </w:r>
          </w:p>
        </w:tc>
        <w:tc>
          <w:tcPr>
            <w:tcW w:type="dxa" w:w="1930"/>
          </w:tcPr>
          <w:p>
            <w:r>
              <w:t>[0.613, 0.762]</w:t>
            </w:r>
          </w:p>
        </w:tc>
        <w:tc>
          <w:tcPr>
            <w:tcW w:type="dxa" w:w="1930"/>
          </w:tcPr>
          <w:p>
            <w:r>
              <w:t>too narrow</w:t>
            </w:r>
          </w:p>
        </w:tc>
      </w:tr>
      <w:tr>
        <w:tc>
          <w:tcPr>
            <w:tcW w:type="dxa" w:w="1930"/>
          </w:tcPr>
          <w:p>
            <w:r>
              <w:t>Correlation interval: paired stationary block bootstrap (quoted)</w:t>
            </w:r>
          </w:p>
        </w:tc>
        <w:tc>
          <w:tcPr>
            <w:tcW w:type="dxa" w:w="1930"/>
          </w:tcPr>
          <w:p>
            <w:r>
              <w:t>Close-to-close</w:t>
            </w:r>
          </w:p>
        </w:tc>
        <w:tc>
          <w:tcPr>
            <w:tcW w:type="dxa" w:w="1930"/>
          </w:tcPr>
          <w:p>
            <w:r>
              <w:t>0.695</w:t>
            </w:r>
          </w:p>
        </w:tc>
        <w:tc>
          <w:tcPr>
            <w:tcW w:type="dxa" w:w="1930"/>
          </w:tcPr>
          <w:p>
            <w:r>
              <w:t>[0.467, 0.800]</w:t>
            </w:r>
          </w:p>
        </w:tc>
        <w:tc>
          <w:tcPr>
            <w:tcW w:type="dxa" w:w="1930"/>
          </w:tcPr>
          <w:p>
            <w:r>
              <w:t>quoted</w:t>
            </w:r>
          </w:p>
        </w:tc>
      </w:tr>
      <w:tr>
        <w:tc>
          <w:tcPr>
            <w:tcW w:type="dxa" w:w="1930"/>
          </w:tcPr>
          <w:p>
            <w:r>
              <w:t>Correlation interval: analytic Fisher-z (assumes normality AND independence)</w:t>
            </w:r>
          </w:p>
        </w:tc>
        <w:tc>
          <w:tcPr>
            <w:tcW w:type="dxa" w:w="1930"/>
          </w:tcPr>
          <w:p>
            <w:r>
              <w:t>Parkinson</w:t>
            </w:r>
          </w:p>
        </w:tc>
        <w:tc>
          <w:tcPr>
            <w:tcW w:type="dxa" w:w="1930"/>
          </w:tcPr>
          <w:p>
            <w:r>
              <w:t>0.630</w:t>
            </w:r>
          </w:p>
        </w:tc>
        <w:tc>
          <w:tcPr>
            <w:tcW w:type="dxa" w:w="1930"/>
          </w:tcPr>
          <w:p>
            <w:r>
              <w:t>[0.536, 0.709]</w:t>
            </w:r>
          </w:p>
        </w:tc>
        <w:tc>
          <w:tcPr>
            <w:tcW w:type="dxa" w:w="1930"/>
          </w:tcPr>
          <w:p>
            <w:r>
              <w:t>too narrow</w:t>
            </w:r>
          </w:p>
        </w:tc>
      </w:tr>
      <w:tr>
        <w:tc>
          <w:tcPr>
            <w:tcW w:type="dxa" w:w="1930"/>
          </w:tcPr>
          <w:p>
            <w:r>
              <w:t>Correlation interval: paired stationary block bootstrap (quoted)</w:t>
            </w:r>
          </w:p>
        </w:tc>
        <w:tc>
          <w:tcPr>
            <w:tcW w:type="dxa" w:w="1930"/>
          </w:tcPr>
          <w:p>
            <w:r>
              <w:t>Parkinson</w:t>
            </w:r>
          </w:p>
        </w:tc>
        <w:tc>
          <w:tcPr>
            <w:tcW w:type="dxa" w:w="1930"/>
          </w:tcPr>
          <w:p>
            <w:r>
              <w:t>0.630</w:t>
            </w:r>
          </w:p>
        </w:tc>
        <w:tc>
          <w:tcPr>
            <w:tcW w:type="dxa" w:w="1930"/>
          </w:tcPr>
          <w:p>
            <w:r>
              <w:t>[0.427, 0.776]</w:t>
            </w:r>
          </w:p>
        </w:tc>
        <w:tc>
          <w:tcPr>
            <w:tcW w:type="dxa" w:w="1930"/>
          </w:tcPr>
          <w:p>
            <w:r>
              <w:t>quoted</w:t>
            </w:r>
          </w:p>
        </w:tc>
      </w:tr>
      <w:tr>
        <w:tc>
          <w:tcPr>
            <w:tcW w:type="dxa" w:w="1930"/>
          </w:tcPr>
          <w:p>
            <w:r>
              <w:t>Parkinson − close-to-close difference, mean block = 1 origin(s)</w:t>
            </w:r>
          </w:p>
        </w:tc>
        <w:tc>
          <w:tcPr>
            <w:tcW w:type="dxa" w:w="1930"/>
          </w:tcPr>
          <w:p>
            <w:r>
              <w:t>difference</w:t>
            </w:r>
          </w:p>
        </w:tc>
        <w:tc>
          <w:tcPr>
            <w:tcW w:type="dxa" w:w="1930"/>
          </w:tcPr>
          <w:p>
            <w:r>
              <w:t>-0.064</w:t>
            </w:r>
          </w:p>
        </w:tc>
        <w:tc>
          <w:tcPr>
            <w:tcW w:type="dxa" w:w="1930"/>
          </w:tcPr>
          <w:p>
            <w:r>
              <w:t>[-0.168, 0.063]</w:t>
            </w:r>
          </w:p>
        </w:tc>
        <w:tc>
          <w:tcPr>
            <w:tcW w:type="dxa" w:w="1930"/>
          </w:tcPr>
          <w:p>
            <w:r>
              <w:t>contains zero</w:t>
            </w:r>
          </w:p>
        </w:tc>
      </w:tr>
      <w:tr>
        <w:tc>
          <w:tcPr>
            <w:tcW w:type="dxa" w:w="1930"/>
          </w:tcPr>
          <w:p>
            <w:r>
              <w:t>Parkinson − close-to-close difference, mean block = 3 origin(s)</w:t>
            </w:r>
          </w:p>
        </w:tc>
        <w:tc>
          <w:tcPr>
            <w:tcW w:type="dxa" w:w="1930"/>
          </w:tcPr>
          <w:p>
            <w:r>
              <w:t>difference</w:t>
            </w:r>
          </w:p>
        </w:tc>
        <w:tc>
          <w:tcPr>
            <w:tcW w:type="dxa" w:w="1930"/>
          </w:tcPr>
          <w:p>
            <w:r>
              <w:t>-0.064</w:t>
            </w:r>
          </w:p>
        </w:tc>
        <w:tc>
          <w:tcPr>
            <w:tcW w:type="dxa" w:w="1930"/>
          </w:tcPr>
          <w:p>
            <w:r>
              <w:t>[-0.147, 0.082]</w:t>
            </w:r>
          </w:p>
        </w:tc>
        <w:tc>
          <w:tcPr>
            <w:tcW w:type="dxa" w:w="1930"/>
          </w:tcPr>
          <w:p>
            <w:r>
              <w:t>contains zero</w:t>
            </w:r>
          </w:p>
        </w:tc>
      </w:tr>
      <w:tr>
        <w:tc>
          <w:tcPr>
            <w:tcW w:type="dxa" w:w="1930"/>
          </w:tcPr>
          <w:p>
            <w:r>
              <w:t>Parkinson − close-to-close difference, mean block = 6 origin(s)</w:t>
            </w:r>
          </w:p>
        </w:tc>
        <w:tc>
          <w:tcPr>
            <w:tcW w:type="dxa" w:w="1930"/>
          </w:tcPr>
          <w:p>
            <w:r>
              <w:t>difference</w:t>
            </w:r>
          </w:p>
        </w:tc>
        <w:tc>
          <w:tcPr>
            <w:tcW w:type="dxa" w:w="1930"/>
          </w:tcPr>
          <w:p>
            <w:r>
              <w:t>-0.064</w:t>
            </w:r>
          </w:p>
        </w:tc>
        <w:tc>
          <w:tcPr>
            <w:tcW w:type="dxa" w:w="1930"/>
          </w:tcPr>
          <w:p>
            <w:r>
              <w:t>[-0.162, 0.092]</w:t>
            </w:r>
          </w:p>
        </w:tc>
        <w:tc>
          <w:tcPr>
            <w:tcW w:type="dxa" w:w="1930"/>
          </w:tcPr>
          <w:p>
            <w:r>
              <w:t>contains zero</w:t>
            </w:r>
          </w:p>
        </w:tc>
      </w:tr>
    </w:tbl>
    <w:p/>
    <w:p>
      <w:pPr/>
      <w:r>
        <w:t>Table 29. Calibration slopes against mean ratios: each estimator relative to the matched open-to-close proxy, instrumented by lagged realised measures (Section 6.6; plan M14, frozen before testing).</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rPr>
          <w:tblHeader/>
        </w:trPr>
        <w:tc>
          <w:tcPr>
            <w:tcW w:type="dxa" w:w="1072"/>
          </w:tcPr>
          <w:p>
            <w:r>
              <w:t>Estimator</w:t>
            </w:r>
          </w:p>
        </w:tc>
        <w:tc>
          <w:tcPr>
            <w:tcW w:type="dxa" w:w="1072"/>
          </w:tcPr>
          <w:p>
            <w:r>
              <w:t>Mean ratio to proxy (variance scale)</w:t>
            </w:r>
          </w:p>
        </w:tc>
        <w:tc>
          <w:tcPr>
            <w:tcW w:type="dxa" w:w="1072"/>
          </w:tcPr>
          <w:p>
            <w:r>
              <w:t>Calibration slope</w:t>
            </w:r>
          </w:p>
        </w:tc>
        <w:tc>
          <w:tcPr>
            <w:tcW w:type="dxa" w:w="1072"/>
          </w:tcPr>
          <w:p>
            <w:r>
              <w:t>95% CI</w:t>
            </w:r>
          </w:p>
        </w:tc>
        <w:tc>
          <w:tcPr>
            <w:tcW w:type="dxa" w:w="1072"/>
          </w:tcPr>
          <w:p>
            <w:r>
              <w:t>Additive share</w:t>
            </w:r>
          </w:p>
        </w:tc>
        <w:tc>
          <w:tcPr>
            <w:tcW w:type="dxa" w:w="1072"/>
          </w:tcPr>
          <w:p>
            <w:r>
              <w:t>95% CI (additive)</w:t>
            </w:r>
          </w:p>
        </w:tc>
        <w:tc>
          <w:tcPr>
            <w:tcW w:type="dxa" w:w="1072"/>
          </w:tcPr>
          <w:p>
            <w:r>
              <w:t>OLS slope on proxy</w:t>
            </w:r>
          </w:p>
        </w:tc>
        <w:tc>
          <w:tcPr>
            <w:tcW w:type="dxa" w:w="1072"/>
          </w:tcPr>
          <w:p>
            <w:r>
              <w:t>Correlation with proxy</w:t>
            </w:r>
          </w:p>
        </w:tc>
        <w:tc>
          <w:tcPr>
            <w:tcW w:type="dxa" w:w="1072"/>
          </w:tcPr>
          <w:p>
            <w:r>
              <w:t>Reading</w:t>
            </w:r>
          </w:p>
        </w:tc>
      </w:tr>
      <w:tr>
        <w:tc>
          <w:tcPr>
            <w:tcW w:type="dxa" w:w="1072"/>
          </w:tcPr>
          <w:p>
            <w:r>
              <w:t>Parkinson</w:t>
            </w:r>
          </w:p>
        </w:tc>
        <w:tc>
          <w:tcPr>
            <w:tcW w:type="dxa" w:w="1072"/>
          </w:tcPr>
          <w:p>
            <w:r>
              <w:t>0.988</w:t>
            </w:r>
          </w:p>
        </w:tc>
        <w:tc>
          <w:tcPr>
            <w:tcW w:type="dxa" w:w="1072"/>
          </w:tcPr>
          <w:p>
            <w:r>
              <w:t>0.919</w:t>
            </w:r>
          </w:p>
        </w:tc>
        <w:tc>
          <w:tcPr>
            <w:tcW w:type="dxa" w:w="1072"/>
          </w:tcPr>
          <w:p>
            <w:r>
              <w:t>[0.760, 1.056]</w:t>
            </w:r>
          </w:p>
        </w:tc>
        <w:tc>
          <w:tcPr>
            <w:tcW w:type="dxa" w:w="1072"/>
          </w:tcPr>
          <w:p>
            <w:r>
              <w:t>0.069</w:t>
            </w:r>
          </w:p>
        </w:tc>
        <w:tc>
          <w:tcPr>
            <w:tcW w:type="dxa" w:w="1072"/>
          </w:tcPr>
          <w:p>
            <w:r>
              <w:t>[-0.052, 0.203]</w:t>
            </w:r>
          </w:p>
        </w:tc>
        <w:tc>
          <w:tcPr>
            <w:tcW w:type="dxa" w:w="1072"/>
          </w:tcPr>
          <w:p>
            <w:r>
              <w:t>0.469</w:t>
            </w:r>
          </w:p>
        </w:tc>
        <w:tc>
          <w:tcPr>
            <w:tcW w:type="dxa" w:w="1072"/>
          </w:tcPr>
          <w:p>
            <w:r>
              <w:t>0.722</w:t>
            </w:r>
          </w:p>
        </w:tc>
        <w:tc>
          <w:tcPr>
            <w:tcW w:type="dxa" w:w="1072"/>
          </w:tcPr>
          <w:p>
            <w:r>
              <w:t>frozen H1 verdict: no detectable attenuation</w:t>
            </w:r>
          </w:p>
        </w:tc>
      </w:tr>
      <w:tr>
        <w:tc>
          <w:tcPr>
            <w:tcW w:type="dxa" w:w="1072"/>
          </w:tcPr>
          <w:p>
            <w:r>
              <w:t>Garman-Klass</w:t>
            </w:r>
          </w:p>
        </w:tc>
        <w:tc>
          <w:tcPr>
            <w:tcW w:type="dxa" w:w="1072"/>
          </w:tcPr>
          <w:p>
            <w:r>
              <w:t>0.983</w:t>
            </w:r>
          </w:p>
        </w:tc>
        <w:tc>
          <w:tcPr>
            <w:tcW w:type="dxa" w:w="1072"/>
          </w:tcPr>
          <w:p>
            <w:r>
              <w:t>0.887</w:t>
            </w:r>
          </w:p>
        </w:tc>
        <w:tc>
          <w:tcPr>
            <w:tcW w:type="dxa" w:w="1072"/>
          </w:tcPr>
          <w:p>
            <w:r>
              <w:t>[0.668, 1.078]</w:t>
            </w:r>
          </w:p>
        </w:tc>
        <w:tc>
          <w:tcPr>
            <w:tcW w:type="dxa" w:w="1072"/>
          </w:tcPr>
          <w:p>
            <w:r>
              <w:t>0.096</w:t>
            </w:r>
          </w:p>
        </w:tc>
        <w:tc>
          <w:tcPr>
            <w:tcW w:type="dxa" w:w="1072"/>
          </w:tcPr>
          <w:p>
            <w:r>
              <w:t>[-0.072, 0.282]</w:t>
            </w:r>
          </w:p>
        </w:tc>
        <w:tc>
          <w:tcPr>
            <w:tcW w:type="dxa" w:w="1072"/>
          </w:tcPr>
          <w:p>
            <w:r>
              <w:t>0.264</w:t>
            </w:r>
          </w:p>
        </w:tc>
        <w:tc>
          <w:tcPr>
            <w:tcW w:type="dxa" w:w="1072"/>
          </w:tcPr>
          <w:p>
            <w:r>
              <w:t>0.390</w:t>
            </w:r>
          </w:p>
        </w:tc>
        <w:tc>
          <w:tcPr>
            <w:tcW w:type="dxa" w:w="1072"/>
          </w:tcPr>
          <w:p>
            <w:r>
              <w:t>frozen H1 verdict: no detectable attenuation</w:t>
            </w:r>
          </w:p>
        </w:tc>
      </w:tr>
      <w:tr>
        <w:tc>
          <w:tcPr>
            <w:tcW w:type="dxa" w:w="1072"/>
          </w:tcPr>
          <w:p>
            <w:r>
              <w:t>Rogers-Satchell</w:t>
            </w:r>
          </w:p>
        </w:tc>
        <w:tc>
          <w:tcPr>
            <w:tcW w:type="dxa" w:w="1072"/>
          </w:tcPr>
          <w:p>
            <w:r>
              <w:t>1.073</w:t>
            </w:r>
          </w:p>
        </w:tc>
        <w:tc>
          <w:tcPr>
            <w:tcW w:type="dxa" w:w="1072"/>
          </w:tcPr>
          <w:p>
            <w:r>
              <w:t>0.912</w:t>
            </w:r>
          </w:p>
        </w:tc>
        <w:tc>
          <w:tcPr>
            <w:tcW w:type="dxa" w:w="1072"/>
          </w:tcPr>
          <w:p>
            <w:r>
              <w:t>[0.650, 1.135]</w:t>
            </w:r>
          </w:p>
        </w:tc>
        <w:tc>
          <w:tcPr>
            <w:tcW w:type="dxa" w:w="1072"/>
          </w:tcPr>
          <w:p>
            <w:r>
              <w:t>0.161</w:t>
            </w:r>
          </w:p>
        </w:tc>
        <w:tc>
          <w:tcPr>
            <w:tcW w:type="dxa" w:w="1072"/>
          </w:tcPr>
          <w:p>
            <w:r>
              <w:t>[-0.040, 0.386]</w:t>
            </w:r>
          </w:p>
        </w:tc>
        <w:tc>
          <w:tcPr>
            <w:tcW w:type="dxa" w:w="1072"/>
          </w:tcPr>
          <w:p>
            <w:r>
              <w:t>0.159</w:t>
            </w:r>
          </w:p>
        </w:tc>
        <w:tc>
          <w:tcPr>
            <w:tcW w:type="dxa" w:w="1072"/>
          </w:tcPr>
          <w:p>
            <w:r>
              <w:t>0.192</w:t>
            </w:r>
          </w:p>
        </w:tc>
        <w:tc>
          <w:tcPr>
            <w:tcW w:type="dxa" w:w="1072"/>
          </w:tcPr>
          <w:p>
            <w:r>
              <w:t>frozen H1 verdict: no detectable attenuation</w:t>
            </w:r>
          </w:p>
        </w:tc>
      </w:tr>
      <w:tr>
        <w:tc>
          <w:tcPr>
            <w:tcW w:type="dxa" w:w="1072"/>
          </w:tcPr>
          <w:p>
            <w:r>
              <w:t>AddRS</w:t>
            </w:r>
          </w:p>
        </w:tc>
        <w:tc>
          <w:tcPr>
            <w:tcW w:type="dxa" w:w="1072"/>
          </w:tcPr>
          <w:p>
            <w:r>
              <w:t>1.501</w:t>
            </w:r>
          </w:p>
        </w:tc>
        <w:tc>
          <w:tcPr>
            <w:tcW w:type="dxa" w:w="1072"/>
          </w:tcPr>
          <w:p>
            <w:r>
              <w:t>1.344</w:t>
            </w:r>
          </w:p>
        </w:tc>
        <w:tc>
          <w:tcPr>
            <w:tcW w:type="dxa" w:w="1072"/>
          </w:tcPr>
          <w:p>
            <w:r>
              <w:t>[1.092, 1.534]</w:t>
            </w:r>
          </w:p>
        </w:tc>
        <w:tc>
          <w:tcPr>
            <w:tcW w:type="dxa" w:w="1072"/>
          </w:tcPr>
          <w:p>
            <w:r>
              <w:t>0.157</w:t>
            </w:r>
          </w:p>
        </w:tc>
        <w:tc>
          <w:tcPr>
            <w:tcW w:type="dxa" w:w="1072"/>
          </w:tcPr>
          <w:p>
            <w:r>
              <w:t>[-0.020, 0.369]</w:t>
            </w:r>
          </w:p>
        </w:tc>
        <w:tc>
          <w:tcPr>
            <w:tcW w:type="dxa" w:w="1072"/>
          </w:tcPr>
          <w:p>
            <w:r>
              <w:t>0.691</w:t>
            </w:r>
          </w:p>
        </w:tc>
        <w:tc>
          <w:tcPr>
            <w:tcW w:type="dxa" w:w="1072"/>
          </w:tcPr>
          <w:p>
            <w:r>
              <w:t>0.652</w:t>
            </w:r>
          </w:p>
        </w:tc>
        <w:tc>
          <w:tcPr>
            <w:tcW w:type="dxa" w:w="1072"/>
          </w:tcPr>
          <w:p>
            <w:r>
              <w:t>slope interval above one (reported; not a decision hypothesis)</w:t>
            </w:r>
          </w:p>
        </w:tc>
      </w:tr>
      <w:tr>
        <w:tc>
          <w:tcPr>
            <w:tcW w:type="dxa" w:w="1072"/>
          </w:tcPr>
          <w:p>
            <w:r>
              <w:t>Average-price (VWAP) estimator</w:t>
            </w:r>
          </w:p>
        </w:tc>
        <w:tc>
          <w:tcPr>
            <w:tcW w:type="dxa" w:w="1072"/>
          </w:tcPr>
          <w:p>
            <w:r>
              <w:t>1.585</w:t>
            </w:r>
          </w:p>
        </w:tc>
        <w:tc>
          <w:tcPr>
            <w:tcW w:type="dxa" w:w="1072"/>
          </w:tcPr>
          <w:p>
            <w:r>
              <w:t>1.655</w:t>
            </w:r>
          </w:p>
        </w:tc>
        <w:tc>
          <w:tcPr>
            <w:tcW w:type="dxa" w:w="1072"/>
          </w:tcPr>
          <w:p>
            <w:r>
              <w:t>[1.276, 1.959]</w:t>
            </w:r>
          </w:p>
        </w:tc>
        <w:tc>
          <w:tcPr>
            <w:tcW w:type="dxa" w:w="1072"/>
          </w:tcPr>
          <w:p>
            <w:r>
              <w:t>-0.070</w:t>
            </w:r>
          </w:p>
        </w:tc>
        <w:tc>
          <w:tcPr>
            <w:tcW w:type="dxa" w:w="1072"/>
          </w:tcPr>
          <w:p>
            <w:r>
              <w:t>[-0.346, 0.256]</w:t>
            </w:r>
          </w:p>
        </w:tc>
        <w:tc>
          <w:tcPr>
            <w:tcW w:type="dxa" w:w="1072"/>
          </w:tcPr>
          <w:p>
            <w:r>
              <w:t>1.082</w:t>
            </w:r>
          </w:p>
        </w:tc>
        <w:tc>
          <w:tcPr>
            <w:tcW w:type="dxa" w:w="1072"/>
          </w:tcPr>
          <w:p>
            <w:r>
              <w:t>0.667</w:t>
            </w:r>
          </w:p>
        </w:tc>
        <w:tc>
          <w:tcPr>
            <w:tcW w:type="dxa" w:w="1072"/>
          </w:tcPr>
          <w:p>
            <w:r>
              <w:t>slope interval above one (reported; not a decision hypothesis)</w:t>
            </w:r>
          </w:p>
        </w:tc>
      </w:tr>
    </w:tbl>
    <w:p/>
    <w:p>
      <w:pPr/>
      <w:r>
        <w:t>Table 30. What the opening price anticipates: the unbiasedness coefficient of the open for the close by market-design regime and opening zone, with the NIFTY 50 index (Section 6.7; plan M15, frozen before testing).</w:t>
      </w:r>
    </w:p>
    <w:tbl>
      <w:tblPr>
        <w:tblStyle w:val="TableGrid"/>
        <w:tblW w:type="auto" w:w="0"/>
        <w:tblLook w:firstColumn="1" w:firstRow="1" w:lastColumn="0" w:lastRow="0" w:noHBand="0" w:noVBand="1" w:val="04A0"/>
      </w:tblPr>
      <w:tblGrid>
        <w:gridCol w:w="804"/>
        <w:gridCol w:w="804"/>
        <w:gridCol w:w="804"/>
        <w:gridCol w:w="804"/>
        <w:gridCol w:w="804"/>
        <w:gridCol w:w="804"/>
        <w:gridCol w:w="804"/>
        <w:gridCol w:w="804"/>
        <w:gridCol w:w="804"/>
        <w:gridCol w:w="804"/>
        <w:gridCol w:w="804"/>
        <w:gridCol w:w="804"/>
      </w:tblGrid>
      <w:tr>
        <w:trPr>
          <w:tblHeader/>
        </w:trPr>
        <w:tc>
          <w:tcPr>
            <w:tcW w:type="dxa" w:w="804"/>
          </w:tcPr>
          <w:p>
            <w:r>
              <w:t>Market and regime</w:t>
            </w:r>
          </w:p>
        </w:tc>
        <w:tc>
          <w:tcPr>
            <w:tcW w:type="dxa" w:w="804"/>
          </w:tcPr>
          <w:p>
            <w:r>
              <w:t>Dates</w:t>
            </w:r>
          </w:p>
        </w:tc>
        <w:tc>
          <w:tcPr>
            <w:tcW w:type="dxa" w:w="804"/>
          </w:tcPr>
          <w:p>
            <w:r>
              <w:t>Rules</w:t>
            </w:r>
          </w:p>
        </w:tc>
        <w:tc>
          <w:tcPr>
            <w:tcW w:type="dxa" w:w="804"/>
          </w:tcPr>
          <w:p>
            <w:r>
              <w:t>Stock-days</w:t>
            </w:r>
          </w:p>
        </w:tc>
        <w:tc>
          <w:tcPr>
            <w:tcW w:type="dxa" w:w="804"/>
          </w:tcPr>
          <w:p>
            <w:r>
              <w:t>b, all opens</w:t>
            </w:r>
          </w:p>
        </w:tc>
        <w:tc>
          <w:tcPr>
            <w:tcW w:type="dxa" w:w="804"/>
          </w:tcPr>
          <w:p>
            <w:r>
              <w:t>95% CI</w:t>
            </w:r>
          </w:p>
        </w:tc>
        <w:tc>
          <w:tcPr>
            <w:tcW w:type="dxa" w:w="804"/>
          </w:tcPr>
          <w:p>
            <w:r>
              <w:t>b, band-pinned opens [95% CI]</w:t>
            </w:r>
          </w:p>
        </w:tc>
        <w:tc>
          <w:tcPr>
            <w:tcW w:type="dxa" w:w="804"/>
          </w:tcPr>
          <w:p>
            <w:r>
              <w:t>b, opens inside ±1.9% [95% CI]</w:t>
            </w:r>
          </w:p>
        </w:tc>
        <w:tc>
          <w:tcPr>
            <w:tcW w:type="dxa" w:w="804"/>
          </w:tcPr>
          <w:p>
            <w:r>
              <w:t>b, opens between ±1.9% and ±4.9% [95% CI]</w:t>
            </w:r>
          </w:p>
        </w:tc>
        <w:tc>
          <w:tcPr>
            <w:tcW w:type="dxa" w:w="804"/>
          </w:tcPr>
          <w:p>
            <w:r>
              <w:t>E[o c]/E[P] [95% CI]</w:t>
            </w:r>
          </w:p>
        </w:tc>
        <w:tc>
          <w:tcPr>
            <w:tcW w:type="dxa" w:w="804"/>
          </w:tcPr>
          <w:p>
            <w:r>
              <w:t>Opens pinned at the band</w:t>
            </w:r>
          </w:p>
        </w:tc>
        <w:tc>
          <w:tcPr>
            <w:tcW w:type="dxa" w:w="804"/>
          </w:tcPr>
          <w:p>
            <w:r>
              <w:t>Opens equal to the previous close</w:t>
            </w:r>
          </w:p>
        </w:tc>
      </w:tr>
      <w:tr>
        <w:tc>
          <w:tcPr>
            <w:tcW w:type="dxa" w:w="804"/>
          </w:tcPr>
          <w:p>
            <w:r>
              <w:t>NEPSE A1</w:t>
            </w:r>
          </w:p>
        </w:tc>
        <w:tc>
          <w:tcPr>
            <w:tcW w:type="dxa" w:w="804"/>
          </w:tcPr>
          <w:p>
            <w:r>
              <w:t>2024-03-04 to 2025-03-19</w:t>
            </w:r>
          </w:p>
        </w:tc>
        <w:tc>
          <w:tcPr>
            <w:tcW w:type="dxa" w:w="804"/>
          </w:tcPr>
          <w:p>
            <w:r>
              <w:t>last-trade close; ±2% band; ±10% limit</w:t>
            </w:r>
          </w:p>
        </w:tc>
        <w:tc>
          <w:tcPr>
            <w:tcW w:type="dxa" w:w="804"/>
          </w:tcPr>
          <w:p>
            <w:r>
              <w:t>58,015</w:t>
            </w:r>
          </w:p>
        </w:tc>
        <w:tc>
          <w:tcPr>
            <w:tcW w:type="dxa" w:w="804"/>
          </w:tcPr>
          <w:p>
            <w:r>
              <w:t>0.307</w:t>
            </w:r>
          </w:p>
        </w:tc>
        <w:tc>
          <w:tcPr>
            <w:tcW w:type="dxa" w:w="804"/>
          </w:tcPr>
          <w:p>
            <w:r>
              <w:t>[0.247, 0.376]</w:t>
            </w:r>
          </w:p>
        </w:tc>
        <w:tc>
          <w:tcPr>
            <w:tcW w:type="dxa" w:w="804"/>
          </w:tcPr>
          <w:p>
            <w:r>
              <w:t>0.349 [0.277, 0.434]</w:t>
            </w:r>
          </w:p>
        </w:tc>
        <w:tc>
          <w:tcPr>
            <w:tcW w:type="dxa" w:w="804"/>
          </w:tcPr>
          <w:p>
            <w:r>
              <w:t>0.253 [0.194, 0.314]</w:t>
            </w:r>
          </w:p>
        </w:tc>
        <w:tc>
          <w:tcPr>
            <w:tcW w:type="dxa" w:w="804"/>
          </w:tcPr>
          <w:p>
            <w:r/>
          </w:p>
        </w:tc>
        <w:tc>
          <w:tcPr>
            <w:tcW w:type="dxa" w:w="804"/>
          </w:tcPr>
          <w:p>
            <w:r>
              <w:t>-0.149 [-0.183, -0.120]</w:t>
            </w:r>
          </w:p>
        </w:tc>
        <w:tc>
          <w:tcPr>
            <w:tcW w:type="dxa" w:w="804"/>
          </w:tcPr>
          <w:p>
            <w:r>
              <w:t>27.0%</w:t>
            </w:r>
          </w:p>
        </w:tc>
        <w:tc>
          <w:tcPr>
            <w:tcW w:type="dxa" w:w="804"/>
          </w:tcPr>
          <w:p>
            <w:r>
              <w:t>10.7%</w:t>
            </w:r>
          </w:p>
        </w:tc>
      </w:tr>
      <w:tr>
        <w:tc>
          <w:tcPr>
            <w:tcW w:type="dxa" w:w="804"/>
          </w:tcPr>
          <w:p>
            <w:r>
              <w:t>NEPSE B</w:t>
            </w:r>
          </w:p>
        </w:tc>
        <w:tc>
          <w:tcPr>
            <w:tcW w:type="dxa" w:w="804"/>
          </w:tcPr>
          <w:p>
            <w:r>
              <w:t>2025-03-20 to 2025-09-21</w:t>
            </w:r>
          </w:p>
        </w:tc>
        <w:tc>
          <w:tcPr>
            <w:tcW w:type="dxa" w:w="804"/>
          </w:tcPr>
          <w:p>
            <w:r>
              <w:t>15-minute VWAP close; ±2% band; ±10% limit</w:t>
            </w:r>
          </w:p>
        </w:tc>
        <w:tc>
          <w:tcPr>
            <w:tcW w:type="dxa" w:w="804"/>
          </w:tcPr>
          <w:p>
            <w:r>
              <w:t>28,660</w:t>
            </w:r>
          </w:p>
        </w:tc>
        <w:tc>
          <w:tcPr>
            <w:tcW w:type="dxa" w:w="804"/>
          </w:tcPr>
          <w:p>
            <w:r>
              <w:t>0.216</w:t>
            </w:r>
          </w:p>
        </w:tc>
        <w:tc>
          <w:tcPr>
            <w:tcW w:type="dxa" w:w="804"/>
          </w:tcPr>
          <w:p>
            <w:r>
              <w:t>[0.128, 0.281]</w:t>
            </w:r>
          </w:p>
        </w:tc>
        <w:tc>
          <w:tcPr>
            <w:tcW w:type="dxa" w:w="804"/>
          </w:tcPr>
          <w:p>
            <w:r>
              <w:t>0.242 [0.116, 0.331]</w:t>
            </w:r>
          </w:p>
        </w:tc>
        <w:tc>
          <w:tcPr>
            <w:tcW w:type="dxa" w:w="804"/>
          </w:tcPr>
          <w:p>
            <w:r>
              <w:t>0.188 [0.098, 0.262]</w:t>
            </w:r>
          </w:p>
        </w:tc>
        <w:tc>
          <w:tcPr>
            <w:tcW w:type="dxa" w:w="804"/>
          </w:tcPr>
          <w:p>
            <w:r/>
          </w:p>
        </w:tc>
        <w:tc>
          <w:tcPr>
            <w:tcW w:type="dxa" w:w="804"/>
          </w:tcPr>
          <w:p>
            <w:r>
              <w:t>-0.213 [-0.247, -0.187]</w:t>
            </w:r>
          </w:p>
        </w:tc>
        <w:tc>
          <w:tcPr>
            <w:tcW w:type="dxa" w:w="804"/>
          </w:tcPr>
          <w:p>
            <w:r>
              <w:t>21.9%</w:t>
            </w:r>
          </w:p>
        </w:tc>
        <w:tc>
          <w:tcPr>
            <w:tcW w:type="dxa" w:w="804"/>
          </w:tcPr>
          <w:p>
            <w:r>
              <w:t>3.0%</w:t>
            </w:r>
          </w:p>
        </w:tc>
      </w:tr>
      <w:tr>
        <w:tc>
          <w:tcPr>
            <w:tcW w:type="dxa" w:w="804"/>
          </w:tcPr>
          <w:p>
            <w:r>
              <w:t>NEPSE A2</w:t>
            </w:r>
          </w:p>
        </w:tc>
        <w:tc>
          <w:tcPr>
            <w:tcW w:type="dxa" w:w="804"/>
          </w:tcPr>
          <w:p>
            <w:r>
              <w:t>2025-09-23 to 2026-04-19</w:t>
            </w:r>
          </w:p>
        </w:tc>
        <w:tc>
          <w:tcPr>
            <w:tcW w:type="dxa" w:w="804"/>
          </w:tcPr>
          <w:p>
            <w:r>
              <w:t>last-trade close; ±2% band; ±10% limit</w:t>
            </w:r>
          </w:p>
        </w:tc>
        <w:tc>
          <w:tcPr>
            <w:tcW w:type="dxa" w:w="804"/>
          </w:tcPr>
          <w:p>
            <w:r>
              <w:t>31,777</w:t>
            </w:r>
          </w:p>
        </w:tc>
        <w:tc>
          <w:tcPr>
            <w:tcW w:type="dxa" w:w="804"/>
          </w:tcPr>
          <w:p>
            <w:r>
              <w:t>0.356</w:t>
            </w:r>
          </w:p>
        </w:tc>
        <w:tc>
          <w:tcPr>
            <w:tcW w:type="dxa" w:w="804"/>
          </w:tcPr>
          <w:p>
            <w:r>
              <w:t>[0.252, 0.512]</w:t>
            </w:r>
          </w:p>
        </w:tc>
        <w:tc>
          <w:tcPr>
            <w:tcW w:type="dxa" w:w="804"/>
          </w:tcPr>
          <w:p>
            <w:r>
              <w:t>0.447 [0.274, 0.668]</w:t>
            </w:r>
          </w:p>
        </w:tc>
        <w:tc>
          <w:tcPr>
            <w:tcW w:type="dxa" w:w="804"/>
          </w:tcPr>
          <w:p>
            <w:r>
              <w:t>0.261 [0.182, 0.386]</w:t>
            </w:r>
          </w:p>
        </w:tc>
        <w:tc>
          <w:tcPr>
            <w:tcW w:type="dxa" w:w="804"/>
          </w:tcPr>
          <w:p>
            <w:r/>
          </w:p>
        </w:tc>
        <w:tc>
          <w:tcPr>
            <w:tcW w:type="dxa" w:w="804"/>
          </w:tcPr>
          <w:p>
            <w:r>
              <w:t>-0.180 [-0.226, -0.127]</w:t>
            </w:r>
          </w:p>
        </w:tc>
        <w:tc>
          <w:tcPr>
            <w:tcW w:type="dxa" w:w="804"/>
          </w:tcPr>
          <w:p>
            <w:r>
              <w:t>21.3%</w:t>
            </w:r>
          </w:p>
        </w:tc>
        <w:tc>
          <w:tcPr>
            <w:tcW w:type="dxa" w:w="804"/>
          </w:tcPr>
          <w:p>
            <w:r>
              <w:t>11.8%</w:t>
            </w:r>
          </w:p>
        </w:tc>
      </w:tr>
      <w:tr>
        <w:tc>
          <w:tcPr>
            <w:tcW w:type="dxa" w:w="804"/>
          </w:tcPr>
          <w:p>
            <w:r>
              <w:t>NEPSE C</w:t>
            </w:r>
          </w:p>
        </w:tc>
        <w:tc>
          <w:tcPr>
            <w:tcW w:type="dxa" w:w="804"/>
          </w:tcPr>
          <w:p>
            <w:r>
              <w:t>2026-04-20 to 2026-08-26</w:t>
            </w:r>
          </w:p>
        </w:tc>
        <w:tc>
          <w:tcPr>
            <w:tcW w:type="dxa" w:w="804"/>
          </w:tcPr>
          <w:p>
            <w:r>
              <w:t>last-trade close; ±5% band; ±15% limit</w:t>
            </w:r>
          </w:p>
        </w:tc>
        <w:tc>
          <w:tcPr>
            <w:tcW w:type="dxa" w:w="804"/>
          </w:tcPr>
          <w:p>
            <w:r>
              <w:t>24,518</w:t>
            </w:r>
          </w:p>
        </w:tc>
        <w:tc>
          <w:tcPr>
            <w:tcW w:type="dxa" w:w="804"/>
          </w:tcPr>
          <w:p>
            <w:r>
              <w:t>0.130</w:t>
            </w:r>
          </w:p>
        </w:tc>
        <w:tc>
          <w:tcPr>
            <w:tcW w:type="dxa" w:w="804"/>
          </w:tcPr>
          <w:p>
            <w:r>
              <w:t>[0.082, 0.196]</w:t>
            </w:r>
          </w:p>
        </w:tc>
        <w:tc>
          <w:tcPr>
            <w:tcW w:type="dxa" w:w="804"/>
          </w:tcPr>
          <w:p>
            <w:r>
              <w:t>0.057 [0.008, 0.121]</w:t>
            </w:r>
          </w:p>
        </w:tc>
        <w:tc>
          <w:tcPr>
            <w:tcW w:type="dxa" w:w="804"/>
          </w:tcPr>
          <w:p>
            <w:r>
              <w:t>0.249 [0.100, 0.385]</w:t>
            </w:r>
          </w:p>
        </w:tc>
        <w:tc>
          <w:tcPr>
            <w:tcW w:type="dxa" w:w="804"/>
          </w:tcPr>
          <w:p>
            <w:r>
              <w:t>0.174 [0.112, 0.249]</w:t>
            </w:r>
          </w:p>
        </w:tc>
        <w:tc>
          <w:tcPr>
            <w:tcW w:type="dxa" w:w="804"/>
          </w:tcPr>
          <w:p>
            <w:r>
              <w:t>-0.545 [-0.621, -0.456]</w:t>
            </w:r>
          </w:p>
        </w:tc>
        <w:tc>
          <w:tcPr>
            <w:tcW w:type="dxa" w:w="804"/>
          </w:tcPr>
          <w:p>
            <w:r>
              <w:t>7.2%</w:t>
            </w:r>
          </w:p>
        </w:tc>
        <w:tc>
          <w:tcPr>
            <w:tcW w:type="dxa" w:w="804"/>
          </w:tcPr>
          <w:p>
            <w:r>
              <w:t>17.4%</w:t>
            </w:r>
          </w:p>
        </w:tc>
      </w:tr>
      <w:tr>
        <w:tc>
          <w:tcPr>
            <w:tcW w:type="dxa" w:w="804"/>
          </w:tcPr>
          <w:p>
            <w:r>
              <w:t>NIFTY 50 (excl. 2012-10-05)</w:t>
            </w:r>
          </w:p>
        </w:tc>
        <w:tc>
          <w:tcPr>
            <w:tcW w:type="dxa" w:w="804"/>
          </w:tcPr>
          <w:p>
            <w:r>
              <w:t>2010-01-04 to 2026-06-12</w:t>
            </w:r>
          </w:p>
        </w:tc>
        <w:tc>
          <w:tcPr>
            <w:tcW w:type="dxa" w:w="804"/>
          </w:tcPr>
          <w:p>
            <w:r>
              <w:t>index; call-auction open</w:t>
            </w:r>
          </w:p>
        </w:tc>
        <w:tc>
          <w:tcPr>
            <w:tcW w:type="dxa" w:w="804"/>
          </w:tcPr>
          <w:p>
            <w:r>
              <w:t>4,035</w:t>
            </w:r>
          </w:p>
        </w:tc>
        <w:tc>
          <w:tcPr>
            <w:tcW w:type="dxa" w:w="804"/>
          </w:tcPr>
          <w:p>
            <w:r>
              <w:t>0.929</w:t>
            </w:r>
          </w:p>
        </w:tc>
        <w:tc>
          <w:tcPr>
            <w:tcW w:type="dxa" w:w="804"/>
          </w:tcPr>
          <w:p>
            <w:r>
              <w:t>[0.854, 0.995]</w:t>
            </w:r>
          </w:p>
        </w:tc>
        <w:tc>
          <w:tcPr>
            <w:tcW w:type="dxa" w:w="804"/>
          </w:tcPr>
          <w:p>
            <w:r/>
          </w:p>
        </w:tc>
        <w:tc>
          <w:tcPr>
            <w:tcW w:type="dxa" w:w="804"/>
          </w:tcPr>
          <w:p>
            <w:r/>
          </w:p>
        </w:tc>
        <w:tc>
          <w:tcPr>
            <w:tcW w:type="dxa" w:w="804"/>
          </w:tcPr>
          <w:p>
            <w:r/>
          </w:p>
        </w:tc>
        <w:tc>
          <w:tcPr>
            <w:tcW w:type="dxa" w:w="804"/>
          </w:tcPr>
          <w:p>
            <w:r>
              <w:t>-0.039 [-0.078, -0.003]</w:t>
            </w:r>
          </w:p>
        </w:tc>
        <w:tc>
          <w:tcPr>
            <w:tcW w:type="dxa" w:w="804"/>
          </w:tcPr>
          <w:p>
            <w:r/>
          </w:p>
        </w:tc>
        <w:tc>
          <w:tcPr>
            <w:tcW w:type="dxa" w:w="804"/>
          </w:tcPr>
          <w:p>
            <w:r/>
          </w:p>
        </w:tc>
      </w:tr>
    </w:tbl>
    <w:p/>
    <w:p>
      <w:pPr/>
      <w:r>
        <w:t>Table 31. The April 2026 rule package as an event: the frozen M15 tests and their verdicts, applied mechanically.</w:t>
      </w:r>
    </w:p>
    <w:tbl>
      <w:tblPr>
        <w:tblStyle w:val="TableGrid"/>
        <w:tblW w:type="auto" w:w="0"/>
        <w:tblLook w:firstColumn="1" w:firstRow="1" w:lastColumn="0" w:lastRow="0" w:noHBand="0" w:noVBand="1" w:val="04A0"/>
      </w:tblPr>
      <w:tblGrid>
        <w:gridCol w:w="2412"/>
        <w:gridCol w:w="2412"/>
        <w:gridCol w:w="2412"/>
        <w:gridCol w:w="2412"/>
      </w:tblGrid>
      <w:tr>
        <w:trPr>
          <w:tblHeader/>
        </w:trPr>
        <w:tc>
          <w:tcPr>
            <w:tcW w:type="dxa" w:w="2412"/>
          </w:tcPr>
          <w:p>
            <w:r>
              <w:t>Hypothesis</w:t>
            </w:r>
          </w:p>
        </w:tc>
        <w:tc>
          <w:tcPr>
            <w:tcW w:type="dxa" w:w="2412"/>
          </w:tcPr>
          <w:p>
            <w:r>
              <w:t>Statistic</w:t>
            </w:r>
          </w:p>
        </w:tc>
        <w:tc>
          <w:tcPr>
            <w:tcW w:type="dxa" w:w="2412"/>
          </w:tcPr>
          <w:p>
            <w:r>
              <w:t>Estimate [95% CI]</w:t>
            </w:r>
          </w:p>
        </w:tc>
        <w:tc>
          <w:tcPr>
            <w:tcW w:type="dxa" w:w="2412"/>
          </w:tcPr>
          <w:p>
            <w:r>
              <w:t>Verdict (frozen rule, applied mechanically)</w:t>
            </w:r>
          </w:p>
        </w:tc>
      </w:tr>
      <w:tr>
        <w:tc>
          <w:tcPr>
            <w:tcW w:type="dxa" w:w="2412"/>
          </w:tcPr>
          <w:p>
            <w:r>
              <w:t>H7</w:t>
            </w:r>
          </w:p>
        </w:tc>
        <w:tc>
          <w:tcPr>
            <w:tcW w:type="dxa" w:w="2412"/>
          </w:tcPr>
          <w:p>
            <w:r>
              <w:t>jump in b, 40 sessions from 2026-04-20 minus the 40 ending 2026-04-05 (predicted &lt; 0)</w:t>
            </w:r>
          </w:p>
        </w:tc>
        <w:tc>
          <w:tcPr>
            <w:tcW w:type="dxa" w:w="2412"/>
          </w:tcPr>
          <w:p>
            <w:r>
              <w:t>-0.333 [-0.627, -0.067]; placebo jumps 77, min -0.176, max 0.289; placebos at or below the actual jump: 0</w:t>
            </w:r>
          </w:p>
        </w:tc>
        <w:tc>
          <w:tcPr>
            <w:tcW w:type="dxa" w:w="2412"/>
          </w:tcPr>
          <w:p>
            <w:r>
              <w:t>sharp break</w:t>
            </w:r>
          </w:p>
        </w:tc>
      </w:tr>
      <w:tr>
        <w:tc>
          <w:tcPr>
            <w:tcW w:type="dxa" w:w="2412"/>
          </w:tcPr>
          <w:p>
            <w:r>
              <w:t>H8</w:t>
            </w:r>
          </w:p>
        </w:tc>
        <w:tc>
          <w:tcPr>
            <w:tcW w:type="dxa" w:w="2412"/>
          </w:tcPr>
          <w:p>
            <w:r>
              <w:t>DiD in b, top minus bottom tercile of pre-reform pinned share, C minus A2 (predicted &lt; 0)</w:t>
            </w:r>
          </w:p>
        </w:tc>
        <w:tc>
          <w:tcPr>
            <w:tcW w:type="dxa" w:w="2412"/>
          </w:tcPr>
          <w:p>
            <w:r>
              <w:t>DiD -0.019 [-0.173, 0.104]; placebo DiD -0.011 [-0.242, 0.179]</w:t>
            </w:r>
          </w:p>
        </w:tc>
        <w:tc>
          <w:tcPr>
            <w:tcW w:type="dxa" w:w="2412"/>
          </w:tcPr>
          <w:p>
            <w:r>
              <w:t>not detected</w:t>
            </w:r>
          </w:p>
        </w:tc>
      </w:tr>
      <w:tr>
        <w:tc>
          <w:tcPr>
            <w:tcW w:type="dxa" w:w="2412"/>
          </w:tcPr>
          <w:p>
            <w:r>
              <w:t>H9(a)</w:t>
            </w:r>
          </w:p>
        </w:tc>
        <w:tc>
          <w:tcPr>
            <w:tcW w:type="dxa" w:w="2412"/>
          </w:tcPr>
          <w:p>
            <w:r>
              <w:t>b, pinned opens in A2 (predicted &gt; 1)</w:t>
            </w:r>
          </w:p>
        </w:tc>
        <w:tc>
          <w:tcPr>
            <w:tcW w:type="dxa" w:w="2412"/>
          </w:tcPr>
          <w:p>
            <w:r>
              <w:t>0.447 [0.274, 0.668]</w:t>
            </w:r>
          </w:p>
        </w:tc>
        <w:tc>
          <w:tcPr>
            <w:tcW w:type="dxa" w:w="2412"/>
          </w:tcPr>
          <w:p>
            <w:r>
              <w:t>not detected</w:t>
            </w:r>
          </w:p>
        </w:tc>
      </w:tr>
      <w:tr>
        <w:tc>
          <w:tcPr>
            <w:tcW w:type="dxa" w:w="2412"/>
          </w:tcPr>
          <w:p>
            <w:r>
              <w:t>H9(b)</w:t>
            </w:r>
          </w:p>
        </w:tc>
        <w:tc>
          <w:tcPr>
            <w:tcW w:type="dxa" w:w="2412"/>
          </w:tcPr>
          <w:p>
            <w:r>
              <w:t>b, opens in the old-band zone in C (predicted &lt; 1)</w:t>
            </w:r>
          </w:p>
        </w:tc>
        <w:tc>
          <w:tcPr>
            <w:tcW w:type="dxa" w:w="2412"/>
          </w:tcPr>
          <w:p>
            <w:r>
              <w:t>0.174 [0.112, 0.249]</w:t>
            </w:r>
          </w:p>
        </w:tc>
        <w:tc>
          <w:tcPr>
            <w:tcW w:type="dxa" w:w="2412"/>
          </w:tcPr>
          <w:p>
            <w:r>
              <w:t>overshoot where the band used to bind</w:t>
            </w:r>
          </w:p>
        </w:tc>
      </w:tr>
      <w:tr>
        <w:tc>
          <w:tcPr>
            <w:tcW w:type="dxa" w:w="2412"/>
          </w:tcPr>
          <w:p>
            <w:r>
              <w:t>H9</w:t>
            </w:r>
          </w:p>
        </w:tc>
        <w:tc>
          <w:tcPr>
            <w:tcW w:type="dxa" w:w="2412"/>
          </w:tcPr>
          <w:p>
            <w:r>
              <w:t>joint verdict</w:t>
            </w:r>
          </w:p>
        </w:tc>
        <w:tc>
          <w:tcPr>
            <w:tcW w:type="dxa" w:w="2412"/>
          </w:tcPr>
          <w:p>
            <w:r/>
          </w:p>
        </w:tc>
        <w:tc>
          <w:tcPr>
            <w:tcW w:type="dxa" w:w="2412"/>
          </w:tcPr>
          <w:p>
            <w:r>
              <w:t>overshoot only</w:t>
            </w:r>
          </w:p>
        </w:tc>
      </w:tr>
      <w:tr>
        <w:tc>
          <w:tcPr>
            <w:tcW w:type="dxa" w:w="2412"/>
          </w:tcPr>
          <w:p>
            <w:r>
              <w:t>H9(c) (reported)</w:t>
            </w:r>
          </w:p>
        </w:tc>
        <w:tc>
          <w:tcPr>
            <w:tcW w:type="dxa" w:w="2412"/>
          </w:tcPr>
          <w:p>
            <w:r>
              <w:t>b, interior opens, C minus A2</w:t>
            </w:r>
          </w:p>
        </w:tc>
        <w:tc>
          <w:tcPr>
            <w:tcW w:type="dxa" w:w="2412"/>
          </w:tcPr>
          <w:p>
            <w:r>
              <w:t>-0.011 [-0.192, 0.156]</w:t>
            </w:r>
          </w:p>
        </w:tc>
        <w:tc>
          <w:tcPr>
            <w:tcW w:type="dxa" w:w="2412"/>
          </w:tcPr>
          <w:p>
            <w:r>
              <w:t>concentrated where the band bound</w:t>
            </w:r>
          </w:p>
        </w:tc>
      </w:tr>
      <w:tr>
        <w:tc>
          <w:tcPr>
            <w:tcW w:type="dxa" w:w="2412"/>
          </w:tcPr>
          <w:p>
            <w:r>
              <w:t>H10 (consequence)</w:t>
            </w:r>
          </w:p>
        </w:tc>
        <w:tc>
          <w:tcPr>
            <w:tcW w:type="dxa" w:w="2412"/>
          </w:tcPr>
          <w:p>
            <w:r>
              <w:t>change A2 to C in E[P]/E[OC] and in E[P]/E[K] (point estimates known before freezing)</w:t>
            </w:r>
          </w:p>
        </w:tc>
        <w:tc>
          <w:tcPr>
            <w:tcW w:type="dxa" w:w="2412"/>
          </w:tcPr>
          <w:p>
            <w:r>
              <w:t>E[P]/E[OC] -0.097 [-0.224, 0.024]; E[P]/E[K] 0.818 [0.362, 1.413]</w:t>
            </w:r>
          </w:p>
        </w:tc>
        <w:tc>
          <w:tcPr>
            <w:tcW w:type="dxa" w:w="2412"/>
          </w:tcPr>
          <w:p>
            <w:r>
              <w:t>no inversion established</w:t>
            </w:r>
          </w:p>
        </w:tc>
      </w:tr>
      <w:tr>
        <w:tc>
          <w:tcPr>
            <w:tcW w:type="dxa" w:w="2412"/>
          </w:tcPr>
          <w:p>
            <w:r>
              <w:t>H11</w:t>
            </w:r>
          </w:p>
        </w:tc>
        <w:tc>
          <w:tcPr>
            <w:tcW w:type="dxa" w:w="2412"/>
          </w:tcPr>
          <w:p>
            <w:r>
              <w:t>sum YZ / sum Var21(r), C minus A2 (predicted &gt; 0)</w:t>
            </w:r>
          </w:p>
        </w:tc>
        <w:tc>
          <w:tcPr>
            <w:tcW w:type="dxa" w:w="2412"/>
          </w:tcPr>
          <w:p>
            <w:r>
              <w:t>1.132 [0.689, 1.727]</w:t>
            </w:r>
          </w:p>
        </w:tc>
        <w:tc>
          <w:tcPr>
            <w:tcW w:type="dxa" w:w="2412"/>
          </w:tcPr>
          <w:p>
            <w:r>
              <w:t>confirmed</w:t>
            </w:r>
          </w:p>
        </w:tc>
      </w:tr>
    </w:tbl>
    <w:p/>
    <w:p>
      <w:pPr/>
      <w:r>
        <w:t>Table 32. What the open does to the estimators: Yang-Zhang's excess over matched close-to-close variance and the share of it that is the opening covariance, and Parkinson against the open-to-close proxy and against the noise-robust kernel. The post hoc columns are labelled.</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tcPr>
          <w:p>
            <w:r>
              <w:t>Market and regime</w:t>
            </w:r>
          </w:p>
        </w:tc>
        <w:tc>
          <w:tcPr>
            <w:tcW w:type="dxa" w:w="1206"/>
          </w:tcPr>
          <w:p>
            <w:r>
              <w:t>Yang-Zhang / Var21(r) (variance scale) [95% CI]</w:t>
            </w:r>
          </w:p>
        </w:tc>
        <w:tc>
          <w:tcPr>
            <w:tcW w:type="dxa" w:w="1206"/>
          </w:tcPr>
          <w:p>
            <w:r>
              <w:t>Share of the excess that is -2 Cov(o, c) [95% CI]</w:t>
            </w:r>
          </w:p>
        </w:tc>
        <w:tc>
          <w:tcPr>
            <w:tcW w:type="dxa" w:w="1206"/>
          </w:tcPr>
          <w:p>
            <w:r>
              <w:t>E[P]/E[OC] [95% CI]</w:t>
            </w:r>
          </w:p>
        </w:tc>
        <w:tc>
          <w:tcPr>
            <w:tcW w:type="dxa" w:w="1206"/>
          </w:tcPr>
          <w:p>
            <w:r>
              <w:t>E[P]/E[K], noise-robust kernel [95% CI]</w:t>
            </w:r>
          </w:p>
        </w:tc>
        <w:tc>
          <w:tcPr>
            <w:tcW w:type="dxa" w:w="1206"/>
          </w:tcPr>
          <w:p>
            <w:r>
              <w:t>Kernel transient share of the proxy [95% CI]</w:t>
            </w:r>
          </w:p>
        </w:tc>
        <w:tc>
          <w:tcPr>
            <w:tcW w:type="dxa" w:w="1206"/>
          </w:tcPr>
          <w:p>
            <w:r>
              <w:t>Open's error, lower bound on its share of the proxy (post hoc) [95% CI]</w:t>
            </w:r>
          </w:p>
        </w:tc>
        <w:tc>
          <w:tcPr>
            <w:tcW w:type="dxa" w:w="1206"/>
          </w:tcPr>
          <w:p>
            <w:r>
              <w:t>Open is the session high or low (post hoc)</w:t>
            </w:r>
          </w:p>
        </w:tc>
      </w:tr>
      <w:tr>
        <w:tc>
          <w:tcPr>
            <w:tcW w:type="dxa" w:w="1206"/>
          </w:tcPr>
          <w:p>
            <w:r>
              <w:t>NEPSE A1</w:t>
            </w:r>
          </w:p>
        </w:tc>
        <w:tc>
          <w:tcPr>
            <w:tcW w:type="dxa" w:w="1206"/>
          </w:tcPr>
          <w:p>
            <w:r>
              <w:t>1.446 [1.334, 1.586]</w:t>
            </w:r>
          </w:p>
        </w:tc>
        <w:tc>
          <w:tcPr>
            <w:tcW w:type="dxa" w:w="1206"/>
          </w:tcPr>
          <w:p>
            <w:r>
              <w:t>0.643 [0.585, 0.725]</w:t>
            </w:r>
          </w:p>
        </w:tc>
        <w:tc>
          <w:tcPr>
            <w:tcW w:type="dxa" w:w="1206"/>
          </w:tcPr>
          <w:p>
            <w:r>
              <w:t>1.047 [1.010, 1.088]</w:t>
            </w:r>
          </w:p>
        </w:tc>
        <w:tc>
          <w:tcPr>
            <w:tcW w:type="dxa" w:w="1206"/>
          </w:tcPr>
          <w:p>
            <w:r>
              <w:t>1.224 [1.142, 1.350]</w:t>
            </w:r>
          </w:p>
        </w:tc>
        <w:tc>
          <w:tcPr>
            <w:tcW w:type="dxa" w:w="1206"/>
          </w:tcPr>
          <w:p>
            <w:r>
              <w:t>0.144 [0.101, 0.201]</w:t>
            </w:r>
          </w:p>
        </w:tc>
        <w:tc>
          <w:tcPr>
            <w:tcW w:type="dxa" w:w="1206"/>
          </w:tcPr>
          <w:p>
            <w:r>
              <w:t>0.050 [0.038, 0.065]</w:t>
            </w:r>
          </w:p>
        </w:tc>
        <w:tc>
          <w:tcPr>
            <w:tcW w:type="dxa" w:w="1206"/>
          </w:tcPr>
          <w:p>
            <w:r>
              <w:t>0.363</w:t>
            </w:r>
          </w:p>
        </w:tc>
      </w:tr>
      <w:tr>
        <w:tc>
          <w:tcPr>
            <w:tcW w:type="dxa" w:w="1206"/>
          </w:tcPr>
          <w:p>
            <w:r>
              <w:t>NEPSE B</w:t>
            </w:r>
          </w:p>
        </w:tc>
        <w:tc>
          <w:tcPr>
            <w:tcW w:type="dxa" w:w="1206"/>
          </w:tcPr>
          <w:p>
            <w:r>
              <w:t>1.858 [1.718, 2.088]</w:t>
            </w:r>
          </w:p>
        </w:tc>
        <w:tc>
          <w:tcPr>
            <w:tcW w:type="dxa" w:w="1206"/>
          </w:tcPr>
          <w:p>
            <w:r>
              <w:t>0.611 [0.561, 0.659]</w:t>
            </w:r>
          </w:p>
        </w:tc>
        <w:tc>
          <w:tcPr>
            <w:tcW w:type="dxa" w:w="1206"/>
          </w:tcPr>
          <w:p>
            <w:r>
              <w:t>1.105 [1.046, 1.161]</w:t>
            </w:r>
          </w:p>
        </w:tc>
        <w:tc>
          <w:tcPr>
            <w:tcW w:type="dxa" w:w="1206"/>
          </w:tcPr>
          <w:p>
            <w:r>
              <w:t>1.443 [1.301, 1.616]</w:t>
            </w:r>
          </w:p>
        </w:tc>
        <w:tc>
          <w:tcPr>
            <w:tcW w:type="dxa" w:w="1206"/>
          </w:tcPr>
          <w:p>
            <w:r>
              <w:t>0.234 [0.185, 0.295]</w:t>
            </w:r>
          </w:p>
        </w:tc>
        <w:tc>
          <w:tcPr>
            <w:tcW w:type="dxa" w:w="1206"/>
          </w:tcPr>
          <w:p>
            <w:r>
              <w:t>0.078 [0.064, 0.094]</w:t>
            </w:r>
          </w:p>
        </w:tc>
        <w:tc>
          <w:tcPr>
            <w:tcW w:type="dxa" w:w="1206"/>
          </w:tcPr>
          <w:p>
            <w:r>
              <w:t>0.389</w:t>
            </w:r>
          </w:p>
        </w:tc>
      </w:tr>
      <w:tr>
        <w:tc>
          <w:tcPr>
            <w:tcW w:type="dxa" w:w="1206"/>
          </w:tcPr>
          <w:p>
            <w:r>
              <w:t>NEPSE A2</w:t>
            </w:r>
          </w:p>
        </w:tc>
        <w:tc>
          <w:tcPr>
            <w:tcW w:type="dxa" w:w="1206"/>
          </w:tcPr>
          <w:p>
            <w:r>
              <w:t>1.551 [1.318, 1.793]</w:t>
            </w:r>
          </w:p>
        </w:tc>
        <w:tc>
          <w:tcPr>
            <w:tcW w:type="dxa" w:w="1206"/>
          </w:tcPr>
          <w:p>
            <w:r>
              <w:t>0.721 [0.611, 0.893]</w:t>
            </w:r>
          </w:p>
        </w:tc>
        <w:tc>
          <w:tcPr>
            <w:tcW w:type="dxa" w:w="1206"/>
          </w:tcPr>
          <w:p>
            <w:r>
              <w:t>0.977 [0.886, 1.078]</w:t>
            </w:r>
          </w:p>
        </w:tc>
        <w:tc>
          <w:tcPr>
            <w:tcW w:type="dxa" w:w="1206"/>
          </w:tcPr>
          <w:p>
            <w:r>
              <w:t>1.191 [0.987, 1.417]</w:t>
            </w:r>
          </w:p>
        </w:tc>
        <w:tc>
          <w:tcPr>
            <w:tcW w:type="dxa" w:w="1206"/>
          </w:tcPr>
          <w:p>
            <w:r>
              <w:t>0.179 [0.084, 0.258]</w:t>
            </w:r>
          </w:p>
        </w:tc>
        <w:tc>
          <w:tcPr>
            <w:tcW w:type="dxa" w:w="1206"/>
          </w:tcPr>
          <w:p>
            <w:r>
              <w:t>0.054 [0.032, 0.074]</w:t>
            </w:r>
          </w:p>
        </w:tc>
        <w:tc>
          <w:tcPr>
            <w:tcW w:type="dxa" w:w="1206"/>
          </w:tcPr>
          <w:p>
            <w:r>
              <w:t>0.422</w:t>
            </w:r>
          </w:p>
        </w:tc>
      </w:tr>
      <w:tr>
        <w:tc>
          <w:tcPr>
            <w:tcW w:type="dxa" w:w="1206"/>
          </w:tcPr>
          <w:p>
            <w:r>
              <w:t>NEPSE C</w:t>
            </w:r>
          </w:p>
        </w:tc>
        <w:tc>
          <w:tcPr>
            <w:tcW w:type="dxa" w:w="1206"/>
          </w:tcPr>
          <w:p>
            <w:r>
              <w:t>2.682 [2.313, 3.267]</w:t>
            </w:r>
          </w:p>
        </w:tc>
        <w:tc>
          <w:tcPr>
            <w:tcW w:type="dxa" w:w="1206"/>
          </w:tcPr>
          <w:p>
            <w:r>
              <w:t>1.013 [0.940, 1.091]</w:t>
            </w:r>
          </w:p>
        </w:tc>
        <w:tc>
          <w:tcPr>
            <w:tcW w:type="dxa" w:w="1206"/>
          </w:tcPr>
          <w:p>
            <w:r>
              <w:t>0.880 [0.818, 0.949]</w:t>
            </w:r>
          </w:p>
        </w:tc>
        <w:tc>
          <w:tcPr>
            <w:tcW w:type="dxa" w:w="1206"/>
          </w:tcPr>
          <w:p>
            <w:r>
              <w:t>2.009 [1.565, 2.605]</w:t>
            </w:r>
          </w:p>
        </w:tc>
        <w:tc>
          <w:tcPr>
            <w:tcW w:type="dxa" w:w="1206"/>
          </w:tcPr>
          <w:p>
            <w:r>
              <w:t>0.562 [0.451, 0.655]</w:t>
            </w:r>
          </w:p>
        </w:tc>
        <w:tc>
          <w:tcPr>
            <w:tcW w:type="dxa" w:w="1206"/>
          </w:tcPr>
          <w:p>
            <w:r>
              <w:t>0.172 [0.139, 0.198]</w:t>
            </w:r>
          </w:p>
        </w:tc>
        <w:tc>
          <w:tcPr>
            <w:tcW w:type="dxa" w:w="1206"/>
          </w:tcPr>
          <w:p>
            <w:r>
              <w:t>0.515</w:t>
            </w:r>
          </w:p>
        </w:tc>
      </w:tr>
      <w:tr>
        <w:tc>
          <w:tcPr>
            <w:tcW w:type="dxa" w:w="1206"/>
          </w:tcPr>
          <w:p>
            <w:r>
              <w:t>NEPSE, all 21-session windows</w:t>
            </w:r>
          </w:p>
        </w:tc>
        <w:tc>
          <w:tcPr>
            <w:tcW w:type="dxa" w:w="1206"/>
          </w:tcPr>
          <w:p>
            <w:r>
              <w:t>1.637 [1.481, 1.847]</w:t>
            </w:r>
          </w:p>
        </w:tc>
        <w:tc>
          <w:tcPr>
            <w:tcW w:type="dxa" w:w="1206"/>
          </w:tcPr>
          <w:p>
            <w:r>
              <w:t>0.756 [0.662, 0.869]</w:t>
            </w:r>
          </w:p>
        </w:tc>
        <w:tc>
          <w:tcPr>
            <w:tcW w:type="dxa" w:w="1206"/>
          </w:tcPr>
          <w:p>
            <w:r/>
          </w:p>
        </w:tc>
        <w:tc>
          <w:tcPr>
            <w:tcW w:type="dxa" w:w="1206"/>
          </w:tcPr>
          <w:p>
            <w:r/>
          </w:p>
        </w:tc>
        <w:tc>
          <w:tcPr>
            <w:tcW w:type="dxa" w:w="1206"/>
          </w:tcPr>
          <w:p>
            <w:r/>
          </w:p>
        </w:tc>
        <w:tc>
          <w:tcPr>
            <w:tcW w:type="dxa" w:w="1206"/>
          </w:tcPr>
          <w:p>
            <w:r/>
          </w:p>
        </w:tc>
        <w:tc>
          <w:tcPr>
            <w:tcW w:type="dxa" w:w="1206"/>
          </w:tcPr>
          <w:p>
            <w:r/>
          </w:p>
        </w:tc>
      </w:tr>
      <w:tr>
        <w:tc>
          <w:tcPr>
            <w:tcW w:type="dxa" w:w="1206"/>
          </w:tcPr>
          <w:p>
            <w:r>
              <w:t>NIFTY 50 (excl. 2012-10-05)</w:t>
            </w:r>
          </w:p>
        </w:tc>
        <w:tc>
          <w:tcPr>
            <w:tcW w:type="dxa" w:w="1206"/>
          </w:tcPr>
          <w:p>
            <w:r>
              <w:t>0.960 [0.922, 1.006]</w:t>
            </w:r>
          </w:p>
        </w:tc>
        <w:tc>
          <w:tcPr>
            <w:tcW w:type="dxa" w:w="1206"/>
          </w:tcPr>
          <w:p>
            <w:r>
              <w:t>n/a (gap ≈ 0)</w:t>
            </w:r>
          </w:p>
        </w:tc>
        <w:tc>
          <w:tcPr>
            <w:tcW w:type="dxa" w:w="1206"/>
          </w:tcPr>
          <w:p>
            <w:r>
              <w:t>0.920 [0.891, 0.950]</w:t>
            </w:r>
          </w:p>
        </w:tc>
        <w:tc>
          <w:tcPr>
            <w:tcW w:type="dxa" w:w="1206"/>
          </w:tcPr>
          <w:p>
            <w:r>
              <w:t>0.921 [0.873, 0.971]</w:t>
            </w:r>
          </w:p>
        </w:tc>
        <w:tc>
          <w:tcPr>
            <w:tcW w:type="dxa" w:w="1206"/>
          </w:tcPr>
          <w:p>
            <w:r>
              <w:t>0.001 [-0.040, 0.040]</w:t>
            </w:r>
          </w:p>
        </w:tc>
        <w:tc>
          <w:tcPr>
            <w:tcW w:type="dxa" w:w="1206"/>
          </w:tcPr>
          <w:p>
            <w:r/>
          </w:p>
        </w:tc>
        <w:tc>
          <w:tcPr>
            <w:tcW w:type="dxa" w:w="1206"/>
          </w:tcPr>
          <w:p>
            <w:r/>
          </w:p>
        </w:tc>
      </w:tr>
    </w:tbl>
    <w:p/>
    <w:p>
      <w:pPr/>
      <w:r>
        <w:t>Table 33. Anam's estimator: the definition frozen in plan M16 before the estimator was computed on any holdout sample (Section 6.8; the plan lists what was already known about the holdout). The constants are read from the estimator module the package runs.</w:t>
      </w:r>
    </w:p>
    <w:tbl>
      <w:tblPr>
        <w:tblStyle w:val="TableGrid"/>
        <w:tblW w:type="auto" w:w="0"/>
        <w:tblLook w:firstColumn="1" w:firstRow="1" w:lastColumn="0" w:lastRow="0" w:noHBand="0" w:noVBand="1" w:val="04A0"/>
      </w:tblPr>
      <w:tblGrid>
        <w:gridCol w:w="3216"/>
        <w:gridCol w:w="3216"/>
        <w:gridCol w:w="3216"/>
      </w:tblGrid>
      <w:tr>
        <w:trPr>
          <w:tblHeader/>
        </w:trPr>
        <w:tc>
          <w:tcPr>
            <w:tcW w:type="dxa" w:w="3216"/>
          </w:tcPr>
          <w:p>
            <w:r>
              <w:t>Step</w:t>
            </w:r>
          </w:p>
        </w:tc>
        <w:tc>
          <w:tcPr>
            <w:tcW w:type="dxa" w:w="3216"/>
          </w:tcPr>
          <w:p>
            <w:r>
              <w:t>Definition</w:t>
            </w:r>
          </w:p>
        </w:tc>
        <w:tc>
          <w:tcPr>
            <w:tcW w:type="dxa" w:w="3216"/>
          </w:tcPr>
          <w:p>
            <w:r>
              <w:t>Constant (frozen in plan M16)</w:t>
            </w:r>
          </w:p>
        </w:tc>
      </w:tr>
      <w:tr>
        <w:tc>
          <w:tcPr>
            <w:tcW w:type="dxa" w:w="3216"/>
          </w:tcPr>
          <w:p>
            <w:r>
              <w:t>Bar coordinates</w:t>
            </w:r>
          </w:p>
        </w:tc>
        <w:tc>
          <w:tcPr>
            <w:tcW w:type="dxa" w:w="3216"/>
          </w:tcPr>
          <w:p>
            <w:r>
              <w:t>o = ln(O/PC), r = ln(C/PC), h = ln(H/PC), l = ln(L/PC), R = ln(H/L); PC is the previous session's close, adjusted for corporate actions and undefined across a gap</w:t>
            </w:r>
          </w:p>
        </w:tc>
        <w:tc>
          <w:tcPr>
            <w:tcW w:type="dxa" w:w="3216"/>
          </w:tcPr>
          <w:p>
            <w:r>
              <w:t>-</w:t>
            </w:r>
          </w:p>
        </w:tc>
      </w:tr>
      <w:tr>
        <w:tc>
          <w:tcPr>
            <w:tcW w:type="dxa" w:w="3216"/>
          </w:tcPr>
          <w:p>
            <w:r>
              <w:t>Open quality b</w:t>
            </w:r>
          </w:p>
        </w:tc>
        <w:tc>
          <w:tcPr>
            <w:tcW w:type="dxa" w:w="3216"/>
          </w:tcPr>
          <w:p>
            <w:r>
              <w:t>b = Σ o r / Σ o², clipped to [0, 1], and 0 where Σ o² = 0: the share of the overnight move that the session keeps</w:t>
            </w:r>
          </w:p>
        </w:tc>
        <w:tc>
          <w:tcPr>
            <w:tcW w:type="dxa" w:w="3216"/>
          </w:tcPr>
          <w:p>
            <w:r>
              <w:t>panel: pooled over the cross-section and the last 60 dates (at least 20); one series: its own last 250 sessions (at least 60)</w:t>
            </w:r>
          </w:p>
        </w:tc>
      </w:tr>
      <w:tr>
        <w:tc>
          <w:tcPr>
            <w:tcW w:type="dxa" w:w="3216"/>
          </w:tcPr>
          <w:p>
            <w:r>
              <w:t>Extended range</w:t>
            </w:r>
          </w:p>
        </w:tc>
        <w:tc>
          <w:tcPr>
            <w:tcW w:type="dxa" w:w="3216"/>
          </w:tcPr>
          <w:p>
            <w:r>
              <w:t>R* = R + max(0, b o - h) + max(0, l - b o): the range extended to reach the effective open PC·exp(b o)</w:t>
            </w:r>
          </w:p>
        </w:tc>
        <w:tc>
          <w:tcPr>
            <w:tcW w:type="dxa" w:w="3216"/>
          </w:tcPr>
          <w:p>
            <w:r>
              <w:t>-</w:t>
            </w:r>
          </w:p>
        </w:tc>
      </w:tr>
      <w:tr>
        <w:tc>
          <w:tcPr>
            <w:tcW w:type="dxa" w:w="3216"/>
          </w:tcPr>
          <w:p>
            <w:r>
              <w:t>Daily kernel</w:t>
            </w:r>
          </w:p>
        </w:tc>
        <w:tc>
          <w:tcPr>
            <w:tcW w:type="dxa" w:w="3216"/>
          </w:tcPr>
          <w:p>
            <w:r>
              <w:t>A = (1 - w)[(b o)² + R*²/(4 ln 2)] + w r², with w = λ₀(1 - b)</w:t>
            </w:r>
          </w:p>
        </w:tc>
        <w:tc>
          <w:tcPr>
            <w:tcW w:type="dxa" w:w="3216"/>
          </w:tcPr>
          <w:p>
            <w:r>
              <w:t>λ₀ = 0.2</w:t>
            </w:r>
          </w:p>
        </w:tc>
      </w:tr>
      <w:tr>
        <w:tc>
          <w:tcPr>
            <w:tcW w:type="dxa" w:w="3216"/>
          </w:tcPr>
          <w:p>
            <w:r>
              <w:t>Calibration</w:t>
            </w:r>
          </w:p>
        </w:tc>
        <w:tc>
          <w:tcPr>
            <w:tcW w:type="dxa" w:w="3216"/>
          </w:tcPr>
          <w:p>
            <w:r>
              <w:t>κ = Σ r² / Σ A over the same trailing set as b</w:t>
            </w:r>
          </w:p>
        </w:tc>
        <w:tc>
          <w:tcPr>
            <w:tcW w:type="dxa" w:w="3216"/>
          </w:tcPr>
          <w:p>
            <w:r>
              <w:t>as for b</w:t>
            </w:r>
          </w:p>
        </w:tc>
      </w:tr>
      <w:tr>
        <w:tc>
          <w:tcPr>
            <w:tcW w:type="dxa" w:w="3216"/>
          </w:tcPr>
          <w:p>
            <w:r>
              <w:t>Window variance</w:t>
            </w:r>
          </w:p>
        </w:tc>
        <w:tc>
          <w:tcPr>
            <w:tcW w:type="dxa" w:w="3216"/>
          </w:tcPr>
          <w:p>
            <w:r>
              <w:t>σ̂² = κ × the mean of A over the window</w:t>
            </w:r>
          </w:p>
        </w:tc>
        <w:tc>
          <w:tcPr>
            <w:tcW w:type="dxa" w:w="3216"/>
          </w:tcPr>
          <w:p>
            <w:r>
              <w:t>5 or 21 sessions in Tables 34-36</w:t>
            </w:r>
          </w:p>
        </w:tc>
      </w:tr>
      <w:tr>
        <w:tc>
          <w:tcPr>
            <w:tcW w:type="dxa" w:w="3216"/>
          </w:tcPr>
          <w:p>
            <w:r>
              <w:t>Special cases</w:t>
            </w:r>
          </w:p>
        </w:tc>
        <w:tc>
          <w:tcPr>
            <w:tcW w:type="dxa" w:w="3216"/>
          </w:tcPr>
          <w:p>
            <w:r>
              <w:t>b = 1 gives o² + Parkinson. b = 0, the open-free form, gives 0.8 TR²/(4 ln 2) + 0.2 r², where TR = ln(max(H, PC)/min(L, PC)) is Wilder's (1978) true range</w:t>
            </w:r>
          </w:p>
        </w:tc>
        <w:tc>
          <w:tcPr>
            <w:tcW w:type="dxa" w:w="3216"/>
          </w:tcPr>
          <w:p>
            <w:r>
              <w:t>-</w:t>
            </w:r>
          </w:p>
        </w:tc>
      </w:tr>
    </w:tbl>
    <w:p/>
    <w:p>
      <w:pPr/>
      <w:r>
        <w:t>Table 34. Out-of-sample forecasts of future close-to-close variance: QLIKE loss (lower is better) on each test sample, with every estimator calibrated by the same pooled scheme, given its own shrinkage and scored on common origins, and the Newey-West t of each loss minus close-to-close's (negative favours the estimator). Plans M16-M18, frozen before testing (Section 6.8). These are the plans' results, with the defects described in Section 6.8; Table 39 gives the corrected evaluation. In the Bangladeshi, Vietnamese and Moroccan panels the levels include targets that are floating-point residues of equal prices, which the plans meant to drop.</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rPr>
          <w:tblHeader/>
        </w:trPr>
        <w:tc>
          <w:tcPr>
            <w:tcW w:type="dxa" w:w="965"/>
          </w:tcPr>
          <w:p>
            <w:r>
              <w:t>Test sample</w:t>
            </w:r>
          </w:p>
        </w:tc>
        <w:tc>
          <w:tcPr>
            <w:tcW w:type="dxa" w:w="965"/>
          </w:tcPr>
          <w:p>
            <w:r>
              <w:t>Plan</w:t>
            </w:r>
          </w:p>
        </w:tc>
        <w:tc>
          <w:tcPr>
            <w:tcW w:type="dxa" w:w="965"/>
          </w:tcPr>
          <w:p>
            <w:r>
              <w:t>Horizon (sessions)</w:t>
            </w:r>
          </w:p>
        </w:tc>
        <w:tc>
          <w:tcPr>
            <w:tcW w:type="dxa" w:w="965"/>
          </w:tcPr>
          <w:p>
            <w:r>
              <w:t>Close-to-close</w:t>
            </w:r>
          </w:p>
        </w:tc>
        <w:tc>
          <w:tcPr>
            <w:tcW w:type="dxa" w:w="965"/>
          </w:tcPr>
          <w:p>
            <w:r>
              <w:t>Parkinson</w:t>
            </w:r>
          </w:p>
        </w:tc>
        <w:tc>
          <w:tcPr>
            <w:tcW w:type="dxa" w:w="965"/>
          </w:tcPr>
          <w:p>
            <w:r>
              <w:t>Best other range estimator</w:t>
            </w:r>
          </w:p>
        </w:tc>
        <w:tc>
          <w:tcPr>
            <w:tcW w:type="dxa" w:w="965"/>
          </w:tcPr>
          <w:p>
            <w:r>
              <w:t>Anam</w:t>
            </w:r>
          </w:p>
        </w:tc>
        <w:tc>
          <w:tcPr>
            <w:tcW w:type="dxa" w:w="965"/>
          </w:tcPr>
          <w:p>
            <w:r>
              <w:t>Anam, open-free form</w:t>
            </w:r>
          </w:p>
        </w:tc>
        <w:tc>
          <w:tcPr>
            <w:tcW w:type="dxa" w:w="965"/>
          </w:tcPr>
          <w:p>
            <w:r>
              <w:t>Anam minus close-to-close: t</w:t>
            </w:r>
          </w:p>
        </w:tc>
        <w:tc>
          <w:tcPr>
            <w:tcW w:type="dxa" w:w="965"/>
          </w:tcPr>
          <w:p>
            <w:r>
              <w:t>Open-free form minus close-to-close: t</w:t>
            </w:r>
          </w:p>
        </w:tc>
      </w:tr>
      <w:tr>
        <w:tc>
          <w:tcPr>
            <w:tcW w:type="dxa" w:w="965"/>
          </w:tcPr>
          <w:p>
            <w:r>
              <w:t>NEPSE, regimes A2 and C</w:t>
            </w:r>
          </w:p>
        </w:tc>
        <w:tc>
          <w:tcPr>
            <w:tcW w:type="dxa" w:w="965"/>
          </w:tcPr>
          <w:p>
            <w:r>
              <w:t>M16</w:t>
            </w:r>
          </w:p>
        </w:tc>
        <w:tc>
          <w:tcPr>
            <w:tcW w:type="dxa" w:w="965"/>
          </w:tcPr>
          <w:p>
            <w:r>
              <w:t>5</w:t>
            </w:r>
          </w:p>
        </w:tc>
        <w:tc>
          <w:tcPr>
            <w:tcW w:type="dxa" w:w="965"/>
          </w:tcPr>
          <w:p>
            <w:r>
              <w:t>0.6478</w:t>
            </w:r>
          </w:p>
        </w:tc>
        <w:tc>
          <w:tcPr>
            <w:tcW w:type="dxa" w:w="965"/>
          </w:tcPr>
          <w:p>
            <w:r>
              <w:t>0.6764</w:t>
            </w:r>
          </w:p>
        </w:tc>
        <w:tc>
          <w:tcPr>
            <w:tcW w:type="dxa" w:w="965"/>
          </w:tcPr>
          <w:p>
            <w:r>
              <w:t>Garman-Klass 0.6904</w:t>
            </w:r>
          </w:p>
        </w:tc>
        <w:tc>
          <w:tcPr>
            <w:tcW w:type="dxa" w:w="965"/>
          </w:tcPr>
          <w:p>
            <w:r>
              <w:t>0.6637</w:t>
            </w:r>
          </w:p>
        </w:tc>
        <w:tc>
          <w:tcPr>
            <w:tcW w:type="dxa" w:w="965"/>
          </w:tcPr>
          <w:p>
            <w:r>
              <w:t>0.6585</w:t>
            </w:r>
          </w:p>
        </w:tc>
        <w:tc>
          <w:tcPr>
            <w:tcW w:type="dxa" w:w="965"/>
          </w:tcPr>
          <w:p>
            <w:r>
              <w:t>+1.19</w:t>
            </w:r>
          </w:p>
        </w:tc>
        <w:tc>
          <w:tcPr>
            <w:tcW w:type="dxa" w:w="965"/>
          </w:tcPr>
          <w:p>
            <w:r>
              <w:t>+0.93</w:t>
            </w:r>
          </w:p>
        </w:tc>
      </w:tr>
      <w:tr>
        <w:tc>
          <w:tcPr>
            <w:tcW w:type="dxa" w:w="965"/>
          </w:tcPr>
          <w:p>
            <w:r>
              <w:t>NEPSE, regimes A2 and C</w:t>
            </w:r>
          </w:p>
        </w:tc>
        <w:tc>
          <w:tcPr>
            <w:tcW w:type="dxa" w:w="965"/>
          </w:tcPr>
          <w:p>
            <w:r>
              <w:t>M16</w:t>
            </w:r>
          </w:p>
        </w:tc>
        <w:tc>
          <w:tcPr>
            <w:tcW w:type="dxa" w:w="965"/>
          </w:tcPr>
          <w:p>
            <w:r>
              <w:t>21</w:t>
            </w:r>
          </w:p>
        </w:tc>
        <w:tc>
          <w:tcPr>
            <w:tcW w:type="dxa" w:w="965"/>
          </w:tcPr>
          <w:p>
            <w:r>
              <w:t>0.3617</w:t>
            </w:r>
          </w:p>
        </w:tc>
        <w:tc>
          <w:tcPr>
            <w:tcW w:type="dxa" w:w="965"/>
          </w:tcPr>
          <w:p>
            <w:r>
              <w:t>0.3785</w:t>
            </w:r>
          </w:p>
        </w:tc>
        <w:tc>
          <w:tcPr>
            <w:tcW w:type="dxa" w:w="965"/>
          </w:tcPr>
          <w:p>
            <w:r>
              <w:t>Garman-Klass 0.3876</w:t>
            </w:r>
          </w:p>
        </w:tc>
        <w:tc>
          <w:tcPr>
            <w:tcW w:type="dxa" w:w="965"/>
          </w:tcPr>
          <w:p>
            <w:r>
              <w:t>0.3709</w:t>
            </w:r>
          </w:p>
        </w:tc>
        <w:tc>
          <w:tcPr>
            <w:tcW w:type="dxa" w:w="965"/>
          </w:tcPr>
          <w:p>
            <w:r>
              <w:t>0.3666</w:t>
            </w:r>
          </w:p>
        </w:tc>
        <w:tc>
          <w:tcPr>
            <w:tcW w:type="dxa" w:w="965"/>
          </w:tcPr>
          <w:p>
            <w:r>
              <w:t>+0.37</w:t>
            </w:r>
          </w:p>
        </w:tc>
        <w:tc>
          <w:tcPr>
            <w:tcW w:type="dxa" w:w="965"/>
          </w:tcPr>
          <w:p>
            <w:r>
              <w:t>+0.21</w:t>
            </w:r>
          </w:p>
        </w:tc>
      </w:tr>
      <w:tr>
        <w:tc>
          <w:tcPr>
            <w:tcW w:type="dxa" w:w="965"/>
          </w:tcPr>
          <w:p>
            <w:r>
              <w:t>NIFTY 50 (index)</w:t>
            </w:r>
          </w:p>
        </w:tc>
        <w:tc>
          <w:tcPr>
            <w:tcW w:type="dxa" w:w="965"/>
          </w:tcPr>
          <w:p>
            <w:r>
              <w:t>M16</w:t>
            </w:r>
          </w:p>
        </w:tc>
        <w:tc>
          <w:tcPr>
            <w:tcW w:type="dxa" w:w="965"/>
          </w:tcPr>
          <w:p>
            <w:r>
              <w:t>5</w:t>
            </w:r>
          </w:p>
        </w:tc>
        <w:tc>
          <w:tcPr>
            <w:tcW w:type="dxa" w:w="965"/>
          </w:tcPr>
          <w:p>
            <w:r>
              <w:t>0.4725</w:t>
            </w:r>
          </w:p>
        </w:tc>
        <w:tc>
          <w:tcPr>
            <w:tcW w:type="dxa" w:w="965"/>
          </w:tcPr>
          <w:p>
            <w:r>
              <w:t>0.4546</w:t>
            </w:r>
          </w:p>
        </w:tc>
        <w:tc>
          <w:tcPr>
            <w:tcW w:type="dxa" w:w="965"/>
          </w:tcPr>
          <w:p>
            <w:r>
              <w:t>overnight² + Garman-Klass 0.4373</w:t>
            </w:r>
          </w:p>
        </w:tc>
        <w:tc>
          <w:tcPr>
            <w:tcW w:type="dxa" w:w="965"/>
          </w:tcPr>
          <w:p>
            <w:r>
              <w:t>0.4314</w:t>
            </w:r>
          </w:p>
        </w:tc>
        <w:tc>
          <w:tcPr>
            <w:tcW w:type="dxa" w:w="965"/>
          </w:tcPr>
          <w:p>
            <w:r>
              <w:t>0.4374</w:t>
            </w:r>
          </w:p>
        </w:tc>
        <w:tc>
          <w:tcPr>
            <w:tcW w:type="dxa" w:w="965"/>
          </w:tcPr>
          <w:p>
            <w:r>
              <w:t>-3.07</w:t>
            </w:r>
          </w:p>
        </w:tc>
        <w:tc>
          <w:tcPr>
            <w:tcW w:type="dxa" w:w="965"/>
          </w:tcPr>
          <w:p>
            <w:r>
              <w:t>-3.31</w:t>
            </w:r>
          </w:p>
        </w:tc>
      </w:tr>
      <w:tr>
        <w:tc>
          <w:tcPr>
            <w:tcW w:type="dxa" w:w="965"/>
          </w:tcPr>
          <w:p>
            <w:r>
              <w:t>NIFTY 50 (index)</w:t>
            </w:r>
          </w:p>
        </w:tc>
        <w:tc>
          <w:tcPr>
            <w:tcW w:type="dxa" w:w="965"/>
          </w:tcPr>
          <w:p>
            <w:r>
              <w:t>M16</w:t>
            </w:r>
          </w:p>
        </w:tc>
        <w:tc>
          <w:tcPr>
            <w:tcW w:type="dxa" w:w="965"/>
          </w:tcPr>
          <w:p>
            <w:r>
              <w:t>21</w:t>
            </w:r>
          </w:p>
        </w:tc>
        <w:tc>
          <w:tcPr>
            <w:tcW w:type="dxa" w:w="965"/>
          </w:tcPr>
          <w:p>
            <w:r>
              <w:t>0.4136</w:t>
            </w:r>
          </w:p>
        </w:tc>
        <w:tc>
          <w:tcPr>
            <w:tcW w:type="dxa" w:w="965"/>
          </w:tcPr>
          <w:p>
            <w:r>
              <w:t>0.4832</w:t>
            </w:r>
          </w:p>
        </w:tc>
        <w:tc>
          <w:tcPr>
            <w:tcW w:type="dxa" w:w="965"/>
          </w:tcPr>
          <w:p>
            <w:r>
              <w:t>overnight² + Parkinson 0.4200</w:t>
            </w:r>
          </w:p>
        </w:tc>
        <w:tc>
          <w:tcPr>
            <w:tcW w:type="dxa" w:w="965"/>
          </w:tcPr>
          <w:p>
            <w:r>
              <w:t>0.4131</w:t>
            </w:r>
          </w:p>
        </w:tc>
        <w:tc>
          <w:tcPr>
            <w:tcW w:type="dxa" w:w="965"/>
          </w:tcPr>
          <w:p>
            <w:r>
              <w:t>0.4190</w:t>
            </w:r>
          </w:p>
        </w:tc>
        <w:tc>
          <w:tcPr>
            <w:tcW w:type="dxa" w:w="965"/>
          </w:tcPr>
          <w:p>
            <w:r>
              <w:t>-0.04</w:t>
            </w:r>
          </w:p>
        </w:tc>
        <w:tc>
          <w:tcPr>
            <w:tcW w:type="dxa" w:w="965"/>
          </w:tcPr>
          <w:p>
            <w:r>
              <w:t>+0.34</w:t>
            </w:r>
          </w:p>
        </w:tc>
      </w:tr>
      <w:tr>
        <w:tc>
          <w:tcPr>
            <w:tcW w:type="dxa" w:w="965"/>
          </w:tcPr>
          <w:p>
            <w:r>
              <w:t>S&amp;P 500 (index)</w:t>
            </w:r>
          </w:p>
        </w:tc>
        <w:tc>
          <w:tcPr>
            <w:tcW w:type="dxa" w:w="965"/>
          </w:tcPr>
          <w:p>
            <w:r>
              <w:t>M16</w:t>
            </w:r>
          </w:p>
        </w:tc>
        <w:tc>
          <w:tcPr>
            <w:tcW w:type="dxa" w:w="965"/>
          </w:tcPr>
          <w:p>
            <w:r>
              <w:t>5</w:t>
            </w:r>
          </w:p>
        </w:tc>
        <w:tc>
          <w:tcPr>
            <w:tcW w:type="dxa" w:w="965"/>
          </w:tcPr>
          <w:p>
            <w:r>
              <w:t>0.5219</w:t>
            </w:r>
          </w:p>
        </w:tc>
        <w:tc>
          <w:tcPr>
            <w:tcW w:type="dxa" w:w="965"/>
          </w:tcPr>
          <w:p>
            <w:r>
              <w:t>0.4631</w:t>
            </w:r>
          </w:p>
        </w:tc>
        <w:tc>
          <w:tcPr>
            <w:tcW w:type="dxa" w:w="965"/>
          </w:tcPr>
          <w:p>
            <w:r>
              <w:t>Garman-Klass 0.4575</w:t>
            </w:r>
          </w:p>
        </w:tc>
        <w:tc>
          <w:tcPr>
            <w:tcW w:type="dxa" w:w="965"/>
          </w:tcPr>
          <w:p>
            <w:r>
              <w:t>0.4648</w:t>
            </w:r>
          </w:p>
        </w:tc>
        <w:tc>
          <w:tcPr>
            <w:tcW w:type="dxa" w:w="965"/>
          </w:tcPr>
          <w:p>
            <w:r>
              <w:t>0.4681</w:t>
            </w:r>
          </w:p>
        </w:tc>
        <w:tc>
          <w:tcPr>
            <w:tcW w:type="dxa" w:w="965"/>
          </w:tcPr>
          <w:p>
            <w:r>
              <w:t>-6.39</w:t>
            </w:r>
          </w:p>
        </w:tc>
        <w:tc>
          <w:tcPr>
            <w:tcW w:type="dxa" w:w="965"/>
          </w:tcPr>
          <w:p>
            <w:r>
              <w:t>-7.10</w:t>
            </w:r>
          </w:p>
        </w:tc>
      </w:tr>
      <w:tr>
        <w:tc>
          <w:tcPr>
            <w:tcW w:type="dxa" w:w="965"/>
          </w:tcPr>
          <w:p>
            <w:r>
              <w:t>S&amp;P 500 (index)</w:t>
            </w:r>
          </w:p>
        </w:tc>
        <w:tc>
          <w:tcPr>
            <w:tcW w:type="dxa" w:w="965"/>
          </w:tcPr>
          <w:p>
            <w:r>
              <w:t>M16</w:t>
            </w:r>
          </w:p>
        </w:tc>
        <w:tc>
          <w:tcPr>
            <w:tcW w:type="dxa" w:w="965"/>
          </w:tcPr>
          <w:p>
            <w:r>
              <w:t>21</w:t>
            </w:r>
          </w:p>
        </w:tc>
        <w:tc>
          <w:tcPr>
            <w:tcW w:type="dxa" w:w="965"/>
          </w:tcPr>
          <w:p>
            <w:r>
              <w:t>0.3944</w:t>
            </w:r>
          </w:p>
        </w:tc>
        <w:tc>
          <w:tcPr>
            <w:tcW w:type="dxa" w:w="965"/>
          </w:tcPr>
          <w:p>
            <w:r>
              <w:t>0.3858</w:t>
            </w:r>
          </w:p>
        </w:tc>
        <w:tc>
          <w:tcPr>
            <w:tcW w:type="dxa" w:w="965"/>
          </w:tcPr>
          <w:p>
            <w:r>
              <w:t>Garman-Klass 0.3916</w:t>
            </w:r>
          </w:p>
        </w:tc>
        <w:tc>
          <w:tcPr>
            <w:tcW w:type="dxa" w:w="965"/>
          </w:tcPr>
          <w:p>
            <w:r>
              <w:t>0.3919</w:t>
            </w:r>
          </w:p>
        </w:tc>
        <w:tc>
          <w:tcPr>
            <w:tcW w:type="dxa" w:w="965"/>
          </w:tcPr>
          <w:p>
            <w:r>
              <w:t>0.3936</w:t>
            </w:r>
          </w:p>
        </w:tc>
        <w:tc>
          <w:tcPr>
            <w:tcW w:type="dxa" w:w="965"/>
          </w:tcPr>
          <w:p>
            <w:r>
              <w:t>-0.20</w:t>
            </w:r>
          </w:p>
        </w:tc>
        <w:tc>
          <w:tcPr>
            <w:tcW w:type="dxa" w:w="965"/>
          </w:tcPr>
          <w:p>
            <w:r>
              <w:t>-0.09</w:t>
            </w:r>
          </w:p>
        </w:tc>
      </w:tr>
      <w:tr>
        <w:tc>
          <w:tcPr>
            <w:tcW w:type="dxa" w:w="965"/>
          </w:tcPr>
          <w:p>
            <w:r>
              <w:t>Dhaka 2023-2026</w:t>
            </w:r>
          </w:p>
        </w:tc>
        <w:tc>
          <w:tcPr>
            <w:tcW w:type="dxa" w:w="965"/>
          </w:tcPr>
          <w:p>
            <w:r>
              <w:t>M17</w:t>
            </w:r>
          </w:p>
        </w:tc>
        <w:tc>
          <w:tcPr>
            <w:tcW w:type="dxa" w:w="965"/>
          </w:tcPr>
          <w:p>
            <w:r>
              <w:t>5</w:t>
            </w:r>
          </w:p>
        </w:tc>
        <w:tc>
          <w:tcPr>
            <w:tcW w:type="dxa" w:w="965"/>
          </w:tcPr>
          <w:p>
            <w:r>
              <w:t>0.6341</w:t>
            </w:r>
          </w:p>
        </w:tc>
        <w:tc>
          <w:tcPr>
            <w:tcW w:type="dxa" w:w="965"/>
          </w:tcPr>
          <w:p>
            <w:r>
              <w:t>0.6520</w:t>
            </w:r>
          </w:p>
        </w:tc>
        <w:tc>
          <w:tcPr>
            <w:tcW w:type="dxa" w:w="965"/>
          </w:tcPr>
          <w:p>
            <w:r>
              <w:t>Garman-Klass 0.6513</w:t>
            </w:r>
          </w:p>
        </w:tc>
        <w:tc>
          <w:tcPr>
            <w:tcW w:type="dxa" w:w="965"/>
          </w:tcPr>
          <w:p>
            <w:r>
              <w:t>0.6316</w:t>
            </w:r>
          </w:p>
        </w:tc>
        <w:tc>
          <w:tcPr>
            <w:tcW w:type="dxa" w:w="965"/>
          </w:tcPr>
          <w:p>
            <w:r>
              <w:t>0.6273</w:t>
            </w:r>
          </w:p>
        </w:tc>
        <w:tc>
          <w:tcPr>
            <w:tcW w:type="dxa" w:w="965"/>
          </w:tcPr>
          <w:p>
            <w:r>
              <w:t>-0.90</w:t>
            </w:r>
          </w:p>
        </w:tc>
        <w:tc>
          <w:tcPr>
            <w:tcW w:type="dxa" w:w="965"/>
          </w:tcPr>
          <w:p>
            <w:r>
              <w:t>-2.55</w:t>
            </w:r>
          </w:p>
        </w:tc>
      </w:tr>
      <w:tr>
        <w:tc>
          <w:tcPr>
            <w:tcW w:type="dxa" w:w="965"/>
          </w:tcPr>
          <w:p>
            <w:r>
              <w:t>Dhaka 2023-2026</w:t>
            </w:r>
          </w:p>
        </w:tc>
        <w:tc>
          <w:tcPr>
            <w:tcW w:type="dxa" w:w="965"/>
          </w:tcPr>
          <w:p>
            <w:r>
              <w:t>M17</w:t>
            </w:r>
          </w:p>
        </w:tc>
        <w:tc>
          <w:tcPr>
            <w:tcW w:type="dxa" w:w="965"/>
          </w:tcPr>
          <w:p>
            <w:r>
              <w:t>21</w:t>
            </w:r>
          </w:p>
        </w:tc>
        <w:tc>
          <w:tcPr>
            <w:tcW w:type="dxa" w:w="965"/>
          </w:tcPr>
          <w:p>
            <w:r>
              <w:t>0.2749</w:t>
            </w:r>
          </w:p>
        </w:tc>
        <w:tc>
          <w:tcPr>
            <w:tcW w:type="dxa" w:w="965"/>
          </w:tcPr>
          <w:p>
            <w:r>
              <w:t>0.2859</w:t>
            </w:r>
          </w:p>
        </w:tc>
        <w:tc>
          <w:tcPr>
            <w:tcW w:type="dxa" w:w="965"/>
          </w:tcPr>
          <w:p>
            <w:r>
              <w:t>Garman-Klass 0.2824</w:t>
            </w:r>
          </w:p>
        </w:tc>
        <w:tc>
          <w:tcPr>
            <w:tcW w:type="dxa" w:w="965"/>
          </w:tcPr>
          <w:p>
            <w:r>
              <w:t>0.2669</w:t>
            </w:r>
          </w:p>
        </w:tc>
        <w:tc>
          <w:tcPr>
            <w:tcW w:type="dxa" w:w="965"/>
          </w:tcPr>
          <w:p>
            <w:r>
              <w:t>0.2667</w:t>
            </w:r>
          </w:p>
        </w:tc>
        <w:tc>
          <w:tcPr>
            <w:tcW w:type="dxa" w:w="965"/>
          </w:tcPr>
          <w:p>
            <w:r>
              <w:t>-2.22</w:t>
            </w:r>
          </w:p>
        </w:tc>
        <w:tc>
          <w:tcPr>
            <w:tcW w:type="dxa" w:w="965"/>
          </w:tcPr>
          <w:p>
            <w:r>
              <w:t>-2.30</w:t>
            </w:r>
          </w:p>
        </w:tc>
      </w:tr>
      <w:tr>
        <w:tc>
          <w:tcPr>
            <w:tcW w:type="dxa" w:w="965"/>
          </w:tcPr>
          <w:p>
            <w:r>
              <w:t>Vietnam 2007-2020</w:t>
            </w:r>
          </w:p>
        </w:tc>
        <w:tc>
          <w:tcPr>
            <w:tcW w:type="dxa" w:w="965"/>
          </w:tcPr>
          <w:p>
            <w:r>
              <w:t>M17</w:t>
            </w:r>
          </w:p>
        </w:tc>
        <w:tc>
          <w:tcPr>
            <w:tcW w:type="dxa" w:w="965"/>
          </w:tcPr>
          <w:p>
            <w:r>
              <w:t>5</w:t>
            </w:r>
          </w:p>
        </w:tc>
        <w:tc>
          <w:tcPr>
            <w:tcW w:type="dxa" w:w="965"/>
          </w:tcPr>
          <w:p>
            <w:r>
              <w:t>0.7699</w:t>
            </w:r>
          </w:p>
        </w:tc>
        <w:tc>
          <w:tcPr>
            <w:tcW w:type="dxa" w:w="965"/>
          </w:tcPr>
          <w:p>
            <w:r>
              <w:t>0.8225</w:t>
            </w:r>
          </w:p>
        </w:tc>
        <w:tc>
          <w:tcPr>
            <w:tcW w:type="dxa" w:w="965"/>
          </w:tcPr>
          <w:p>
            <w:r>
              <w:t>overnight² + Parkinson 0.7937</w:t>
            </w:r>
          </w:p>
        </w:tc>
        <w:tc>
          <w:tcPr>
            <w:tcW w:type="dxa" w:w="965"/>
          </w:tcPr>
          <w:p>
            <w:r>
              <w:t>0.7705</w:t>
            </w:r>
          </w:p>
        </w:tc>
        <w:tc>
          <w:tcPr>
            <w:tcW w:type="dxa" w:w="965"/>
          </w:tcPr>
          <w:p>
            <w:r>
              <w:t>0.7629</w:t>
            </w:r>
          </w:p>
        </w:tc>
        <w:tc>
          <w:tcPr>
            <w:tcW w:type="dxa" w:w="965"/>
          </w:tcPr>
          <w:p>
            <w:r>
              <w:t>+0.20</w:t>
            </w:r>
          </w:p>
        </w:tc>
        <w:tc>
          <w:tcPr>
            <w:tcW w:type="dxa" w:w="965"/>
          </w:tcPr>
          <w:p>
            <w:r>
              <w:t>-3.58</w:t>
            </w:r>
          </w:p>
        </w:tc>
      </w:tr>
      <w:tr>
        <w:tc>
          <w:tcPr>
            <w:tcW w:type="dxa" w:w="965"/>
          </w:tcPr>
          <w:p>
            <w:r>
              <w:t>Vietnam 2007-2020</w:t>
            </w:r>
          </w:p>
        </w:tc>
        <w:tc>
          <w:tcPr>
            <w:tcW w:type="dxa" w:w="965"/>
          </w:tcPr>
          <w:p>
            <w:r>
              <w:t>M17</w:t>
            </w:r>
          </w:p>
        </w:tc>
        <w:tc>
          <w:tcPr>
            <w:tcW w:type="dxa" w:w="965"/>
          </w:tcPr>
          <w:p>
            <w:r>
              <w:t>21</w:t>
            </w:r>
          </w:p>
        </w:tc>
        <w:tc>
          <w:tcPr>
            <w:tcW w:type="dxa" w:w="965"/>
          </w:tcPr>
          <w:p>
            <w:r>
              <w:t>0.2737</w:t>
            </w:r>
          </w:p>
        </w:tc>
        <w:tc>
          <w:tcPr>
            <w:tcW w:type="dxa" w:w="965"/>
          </w:tcPr>
          <w:p>
            <w:r>
              <w:t>0.3510</w:t>
            </w:r>
          </w:p>
        </w:tc>
        <w:tc>
          <w:tcPr>
            <w:tcW w:type="dxa" w:w="965"/>
          </w:tcPr>
          <w:p>
            <w:r>
              <w:t>overnight² + Parkinson 0.3001</w:t>
            </w:r>
          </w:p>
        </w:tc>
        <w:tc>
          <w:tcPr>
            <w:tcW w:type="dxa" w:w="965"/>
          </w:tcPr>
          <w:p>
            <w:r>
              <w:t>0.2850</w:t>
            </w:r>
          </w:p>
        </w:tc>
        <w:tc>
          <w:tcPr>
            <w:tcW w:type="dxa" w:w="965"/>
          </w:tcPr>
          <w:p>
            <w:r>
              <w:t>0.2770</w:t>
            </w:r>
          </w:p>
        </w:tc>
        <w:tc>
          <w:tcPr>
            <w:tcW w:type="dxa" w:w="965"/>
          </w:tcPr>
          <w:p>
            <w:r>
              <w:t>+7.27</w:t>
            </w:r>
          </w:p>
        </w:tc>
        <w:tc>
          <w:tcPr>
            <w:tcW w:type="dxa" w:w="965"/>
          </w:tcPr>
          <w:p>
            <w:r>
              <w:t>+1.60</w:t>
            </w:r>
          </w:p>
        </w:tc>
      </w:tr>
      <w:tr>
        <w:tc>
          <w:tcPr>
            <w:tcW w:type="dxa" w:w="965"/>
          </w:tcPr>
          <w:p>
            <w:r>
              <w:t>Dhaka 2009-2021 (dates repaired)</w:t>
            </w:r>
          </w:p>
        </w:tc>
        <w:tc>
          <w:tcPr>
            <w:tcW w:type="dxa" w:w="965"/>
          </w:tcPr>
          <w:p>
            <w:r>
              <w:t>M17</w:t>
            </w:r>
          </w:p>
        </w:tc>
        <w:tc>
          <w:tcPr>
            <w:tcW w:type="dxa" w:w="965"/>
          </w:tcPr>
          <w:p>
            <w:r>
              <w:t>5</w:t>
            </w:r>
          </w:p>
        </w:tc>
        <w:tc>
          <w:tcPr>
            <w:tcW w:type="dxa" w:w="965"/>
          </w:tcPr>
          <w:p>
            <w:r>
              <w:t>0.6214</w:t>
            </w:r>
          </w:p>
        </w:tc>
        <w:tc>
          <w:tcPr>
            <w:tcW w:type="dxa" w:w="965"/>
          </w:tcPr>
          <w:p>
            <w:r>
              <w:t>0.6162</w:t>
            </w:r>
          </w:p>
        </w:tc>
        <w:tc>
          <w:tcPr>
            <w:tcW w:type="dxa" w:w="965"/>
          </w:tcPr>
          <w:p>
            <w:r>
              <w:t>overnight² + Parkinson 0.6228</w:t>
            </w:r>
          </w:p>
        </w:tc>
        <w:tc>
          <w:tcPr>
            <w:tcW w:type="dxa" w:w="965"/>
          </w:tcPr>
          <w:p>
            <w:r>
              <w:t>0.6044</w:t>
            </w:r>
          </w:p>
        </w:tc>
        <w:tc>
          <w:tcPr>
            <w:tcW w:type="dxa" w:w="965"/>
          </w:tcPr>
          <w:p>
            <w:r>
              <w:t>0.6008</w:t>
            </w:r>
          </w:p>
        </w:tc>
        <w:tc>
          <w:tcPr>
            <w:tcW w:type="dxa" w:w="965"/>
          </w:tcPr>
          <w:p>
            <w:r>
              <w:t>-6.17</w:t>
            </w:r>
          </w:p>
        </w:tc>
        <w:tc>
          <w:tcPr>
            <w:tcW w:type="dxa" w:w="965"/>
          </w:tcPr>
          <w:p>
            <w:r>
              <w:t>-8.30</w:t>
            </w:r>
          </w:p>
        </w:tc>
      </w:tr>
      <w:tr>
        <w:tc>
          <w:tcPr>
            <w:tcW w:type="dxa" w:w="965"/>
          </w:tcPr>
          <w:p>
            <w:r>
              <w:t>Dhaka 2009-2021 (dates repaired)</w:t>
            </w:r>
          </w:p>
        </w:tc>
        <w:tc>
          <w:tcPr>
            <w:tcW w:type="dxa" w:w="965"/>
          </w:tcPr>
          <w:p>
            <w:r>
              <w:t>M17</w:t>
            </w:r>
          </w:p>
        </w:tc>
        <w:tc>
          <w:tcPr>
            <w:tcW w:type="dxa" w:w="965"/>
          </w:tcPr>
          <w:p>
            <w:r>
              <w:t>21</w:t>
            </w:r>
          </w:p>
        </w:tc>
        <w:tc>
          <w:tcPr>
            <w:tcW w:type="dxa" w:w="965"/>
          </w:tcPr>
          <w:p>
            <w:r>
              <w:t>0.3631</w:t>
            </w:r>
          </w:p>
        </w:tc>
        <w:tc>
          <w:tcPr>
            <w:tcW w:type="dxa" w:w="965"/>
          </w:tcPr>
          <w:p>
            <w:r>
              <w:t>0.3595</w:t>
            </w:r>
          </w:p>
        </w:tc>
        <w:tc>
          <w:tcPr>
            <w:tcW w:type="dxa" w:w="965"/>
          </w:tcPr>
          <w:p>
            <w:r>
              <w:t>Garman-Klass 0.3629</w:t>
            </w:r>
          </w:p>
        </w:tc>
        <w:tc>
          <w:tcPr>
            <w:tcW w:type="dxa" w:w="965"/>
          </w:tcPr>
          <w:p>
            <w:r>
              <w:t>0.3524</w:t>
            </w:r>
          </w:p>
        </w:tc>
        <w:tc>
          <w:tcPr>
            <w:tcW w:type="dxa" w:w="965"/>
          </w:tcPr>
          <w:p>
            <w:r>
              <w:t>0.3508</w:t>
            </w:r>
          </w:p>
        </w:tc>
        <w:tc>
          <w:tcPr>
            <w:tcW w:type="dxa" w:w="965"/>
          </w:tcPr>
          <w:p>
            <w:r>
              <w:t>-3.02</w:t>
            </w:r>
          </w:p>
        </w:tc>
        <w:tc>
          <w:tcPr>
            <w:tcW w:type="dxa" w:w="965"/>
          </w:tcPr>
          <w:p>
            <w:r>
              <w:t>-3.91</w:t>
            </w:r>
          </w:p>
        </w:tc>
      </w:tr>
      <w:tr>
        <w:tc>
          <w:tcPr>
            <w:tcW w:type="dxa" w:w="965"/>
          </w:tcPr>
          <w:p>
            <w:r>
              <w:t>Morocco 2012-2026</w:t>
            </w:r>
          </w:p>
        </w:tc>
        <w:tc>
          <w:tcPr>
            <w:tcW w:type="dxa" w:w="965"/>
          </w:tcPr>
          <w:p>
            <w:r>
              <w:t>M18</w:t>
            </w:r>
          </w:p>
        </w:tc>
        <w:tc>
          <w:tcPr>
            <w:tcW w:type="dxa" w:w="965"/>
          </w:tcPr>
          <w:p>
            <w:r>
              <w:t>5</w:t>
            </w:r>
          </w:p>
        </w:tc>
        <w:tc>
          <w:tcPr>
            <w:tcW w:type="dxa" w:w="965"/>
          </w:tcPr>
          <w:p>
            <w:r>
              <w:t>0.6784</w:t>
            </w:r>
          </w:p>
        </w:tc>
        <w:tc>
          <w:tcPr>
            <w:tcW w:type="dxa" w:w="965"/>
          </w:tcPr>
          <w:p>
            <w:r>
              <w:t>0.7352</w:t>
            </w:r>
          </w:p>
        </w:tc>
        <w:tc>
          <w:tcPr>
            <w:tcW w:type="dxa" w:w="965"/>
          </w:tcPr>
          <w:p>
            <w:r>
              <w:t>overnight² + Parkinson 0.6794</w:t>
            </w:r>
          </w:p>
        </w:tc>
        <w:tc>
          <w:tcPr>
            <w:tcW w:type="dxa" w:w="965"/>
          </w:tcPr>
          <w:p>
            <w:r>
              <w:t>0.6706</w:t>
            </w:r>
          </w:p>
        </w:tc>
        <w:tc>
          <w:tcPr>
            <w:tcW w:type="dxa" w:w="965"/>
          </w:tcPr>
          <w:p>
            <w:r>
              <w:t>0.6633</w:t>
            </w:r>
          </w:p>
        </w:tc>
        <w:tc>
          <w:tcPr>
            <w:tcW w:type="dxa" w:w="965"/>
          </w:tcPr>
          <w:p>
            <w:r>
              <w:t>-2.06</w:t>
            </w:r>
          </w:p>
        </w:tc>
        <w:tc>
          <w:tcPr>
            <w:tcW w:type="dxa" w:w="965"/>
          </w:tcPr>
          <w:p>
            <w:r>
              <w:t>-4.53</w:t>
            </w:r>
          </w:p>
        </w:tc>
      </w:tr>
      <w:tr>
        <w:tc>
          <w:tcPr>
            <w:tcW w:type="dxa" w:w="965"/>
          </w:tcPr>
          <w:p>
            <w:r>
              <w:t>Morocco 2012-2026</w:t>
            </w:r>
          </w:p>
        </w:tc>
        <w:tc>
          <w:tcPr>
            <w:tcW w:type="dxa" w:w="965"/>
          </w:tcPr>
          <w:p>
            <w:r>
              <w:t>M18</w:t>
            </w:r>
          </w:p>
        </w:tc>
        <w:tc>
          <w:tcPr>
            <w:tcW w:type="dxa" w:w="965"/>
          </w:tcPr>
          <w:p>
            <w:r>
              <w:t>21</w:t>
            </w:r>
          </w:p>
        </w:tc>
        <w:tc>
          <w:tcPr>
            <w:tcW w:type="dxa" w:w="965"/>
          </w:tcPr>
          <w:p>
            <w:r>
              <w:t>0.3363</w:t>
            </w:r>
          </w:p>
        </w:tc>
        <w:tc>
          <w:tcPr>
            <w:tcW w:type="dxa" w:w="965"/>
          </w:tcPr>
          <w:p>
            <w:r>
              <w:t>0.4207</w:t>
            </w:r>
          </w:p>
        </w:tc>
        <w:tc>
          <w:tcPr>
            <w:tcW w:type="dxa" w:w="965"/>
          </w:tcPr>
          <w:p>
            <w:r>
              <w:t>overnight² + Parkinson 0.3315</w:t>
            </w:r>
          </w:p>
        </w:tc>
        <w:tc>
          <w:tcPr>
            <w:tcW w:type="dxa" w:w="965"/>
          </w:tcPr>
          <w:p>
            <w:r>
              <w:t>0.3314</w:t>
            </w:r>
          </w:p>
        </w:tc>
        <w:tc>
          <w:tcPr>
            <w:tcW w:type="dxa" w:w="965"/>
          </w:tcPr>
          <w:p>
            <w:r>
              <w:t>0.3272</w:t>
            </w:r>
          </w:p>
        </w:tc>
        <w:tc>
          <w:tcPr>
            <w:tcW w:type="dxa" w:w="965"/>
          </w:tcPr>
          <w:p>
            <w:r>
              <w:t>-1.00</w:t>
            </w:r>
          </w:p>
        </w:tc>
        <w:tc>
          <w:tcPr>
            <w:tcW w:type="dxa" w:w="965"/>
          </w:tcPr>
          <w:p>
            <w:r>
              <w:t>-1.94</w:t>
            </w:r>
          </w:p>
        </w:tc>
      </w:tr>
    </w:tbl>
    <w:p/>
    <w:p>
      <w:pPr/>
      <w:r>
        <w:t>Table 35. Level: each estimator's 21-session window mean divided by the 21-session mean of r² on each test span; Anam's estimator enters calibrated and the classical estimators raw (Section 6.8); Table 38 gives them the same calibration.</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tcPr>
          <w:p>
            <w:r>
              <w:t>Test sample</w:t>
            </w:r>
          </w:p>
        </w:tc>
        <w:tc>
          <w:tcPr>
            <w:tcW w:type="dxa" w:w="1206"/>
          </w:tcPr>
          <w:p>
            <w:r>
              <w:t>Plan</w:t>
            </w:r>
          </w:p>
        </w:tc>
        <w:tc>
          <w:tcPr>
            <w:tcW w:type="dxa" w:w="1206"/>
          </w:tcPr>
          <w:p>
            <w:r>
              <w:t>Anam (calibrated)</w:t>
            </w:r>
          </w:p>
        </w:tc>
        <w:tc>
          <w:tcPr>
            <w:tcW w:type="dxa" w:w="1206"/>
          </w:tcPr>
          <w:p>
            <w:r>
              <w:t>Parkinson</w:t>
            </w:r>
          </w:p>
        </w:tc>
        <w:tc>
          <w:tcPr>
            <w:tcW w:type="dxa" w:w="1206"/>
          </w:tcPr>
          <w:p>
            <w:r>
              <w:t>Garman-Klass</w:t>
            </w:r>
          </w:p>
        </w:tc>
        <w:tc>
          <w:tcPr>
            <w:tcW w:type="dxa" w:w="1206"/>
          </w:tcPr>
          <w:p>
            <w:r>
              <w:t>overnight² + Parkinson</w:t>
            </w:r>
          </w:p>
        </w:tc>
        <w:tc>
          <w:tcPr>
            <w:tcW w:type="dxa" w:w="1206"/>
          </w:tcPr>
          <w:p>
            <w:r>
              <w:t>Yang-Zhang (daily form)</w:t>
            </w:r>
          </w:p>
        </w:tc>
        <w:tc>
          <w:tcPr>
            <w:tcW w:type="dxa" w:w="1206"/>
          </w:tcPr>
          <w:p>
            <w:r>
              <w:t>Yang-Zhang (window form)</w:t>
            </w:r>
          </w:p>
        </w:tc>
      </w:tr>
      <w:tr>
        <w:tc>
          <w:tcPr>
            <w:tcW w:type="dxa" w:w="1206"/>
          </w:tcPr>
          <w:p>
            <w:r>
              <w:t>NEPSE, regime A2</w:t>
            </w:r>
          </w:p>
        </w:tc>
        <w:tc>
          <w:tcPr>
            <w:tcW w:type="dxa" w:w="1206"/>
          </w:tcPr>
          <w:p>
            <w:r>
              <w:t>M16</w:t>
            </w:r>
          </w:p>
        </w:tc>
        <w:tc>
          <w:tcPr>
            <w:tcW w:type="dxa" w:w="1206"/>
          </w:tcPr>
          <w:p>
            <w:r>
              <w:t>1.011</w:t>
            </w:r>
          </w:p>
        </w:tc>
        <w:tc>
          <w:tcPr>
            <w:tcW w:type="dxa" w:w="1206"/>
          </w:tcPr>
          <w:p>
            <w:r>
              <w:t>1.155</w:t>
            </w:r>
          </w:p>
        </w:tc>
        <w:tc>
          <w:tcPr>
            <w:tcW w:type="dxa" w:w="1206"/>
          </w:tcPr>
          <w:p>
            <w:r>
              <w:t>1.161</w:t>
            </w:r>
          </w:p>
        </w:tc>
        <w:tc>
          <w:tcPr>
            <w:tcW w:type="dxa" w:w="1206"/>
          </w:tcPr>
          <w:p>
            <w:r>
              <w:t>1.493</w:t>
            </w:r>
          </w:p>
        </w:tc>
        <w:tc>
          <w:tcPr>
            <w:tcW w:type="dxa" w:w="1206"/>
          </w:tcPr>
          <w:p>
            <w:r>
              <w:t>1.583</w:t>
            </w:r>
          </w:p>
        </w:tc>
        <w:tc>
          <w:tcPr>
            <w:tcW w:type="dxa" w:w="1206"/>
          </w:tcPr>
          <w:p>
            <w:r>
              <w:t>1.534</w:t>
            </w:r>
          </w:p>
        </w:tc>
      </w:tr>
      <w:tr>
        <w:tc>
          <w:tcPr>
            <w:tcW w:type="dxa" w:w="1206"/>
          </w:tcPr>
          <w:p>
            <w:r>
              <w:t>NEPSE, regime C (after the reform)</w:t>
            </w:r>
          </w:p>
        </w:tc>
        <w:tc>
          <w:tcPr>
            <w:tcW w:type="dxa" w:w="1206"/>
          </w:tcPr>
          <w:p>
            <w:r>
              <w:t>M16</w:t>
            </w:r>
          </w:p>
        </w:tc>
        <w:tc>
          <w:tcPr>
            <w:tcW w:type="dxa" w:w="1206"/>
          </w:tcPr>
          <w:p>
            <w:r>
              <w:t>1.195</w:t>
            </w:r>
          </w:p>
        </w:tc>
        <w:tc>
          <w:tcPr>
            <w:tcW w:type="dxa" w:w="1206"/>
          </w:tcPr>
          <w:p>
            <w:r>
              <w:t>1.669</w:t>
            </w:r>
          </w:p>
        </w:tc>
        <w:tc>
          <w:tcPr>
            <w:tcW w:type="dxa" w:w="1206"/>
          </w:tcPr>
          <w:p>
            <w:r>
              <w:t>1.594</w:t>
            </w:r>
          </w:p>
        </w:tc>
        <w:tc>
          <w:tcPr>
            <w:tcW w:type="dxa" w:w="1206"/>
          </w:tcPr>
          <w:p>
            <w:r>
              <w:t>2.761</w:t>
            </w:r>
          </w:p>
        </w:tc>
        <w:tc>
          <w:tcPr>
            <w:tcW w:type="dxa" w:w="1206"/>
          </w:tcPr>
          <w:p>
            <w:r>
              <w:t>2.848</w:t>
            </w:r>
          </w:p>
        </w:tc>
        <w:tc>
          <w:tcPr>
            <w:tcW w:type="dxa" w:w="1206"/>
          </w:tcPr>
          <w:p>
            <w:r>
              <w:t>2.704</w:t>
            </w:r>
          </w:p>
        </w:tc>
      </w:tr>
      <w:tr>
        <w:tc>
          <w:tcPr>
            <w:tcW w:type="dxa" w:w="1206"/>
          </w:tcPr>
          <w:p>
            <w:r>
              <w:t>NIFTY 50 (index)</w:t>
            </w:r>
          </w:p>
        </w:tc>
        <w:tc>
          <w:tcPr>
            <w:tcW w:type="dxa" w:w="1206"/>
          </w:tcPr>
          <w:p>
            <w:r>
              <w:t>M16</w:t>
            </w:r>
          </w:p>
        </w:tc>
        <w:tc>
          <w:tcPr>
            <w:tcW w:type="dxa" w:w="1206"/>
          </w:tcPr>
          <w:p>
            <w:r>
              <w:t>1.011</w:t>
            </w:r>
          </w:p>
        </w:tc>
        <w:tc>
          <w:tcPr>
            <w:tcW w:type="dxa" w:w="1206"/>
          </w:tcPr>
          <w:p>
            <w:r>
              <w:t>0.606</w:t>
            </w:r>
          </w:p>
        </w:tc>
        <w:tc>
          <w:tcPr>
            <w:tcW w:type="dxa" w:w="1206"/>
          </w:tcPr>
          <w:p>
            <w:r>
              <w:t>0.594</w:t>
            </w:r>
          </w:p>
        </w:tc>
        <w:tc>
          <w:tcPr>
            <w:tcW w:type="dxa" w:w="1206"/>
          </w:tcPr>
          <w:p>
            <w:r>
              <w:t>1.014</w:t>
            </w:r>
          </w:p>
        </w:tc>
        <w:tc>
          <w:tcPr>
            <w:tcW w:type="dxa" w:w="1206"/>
          </w:tcPr>
          <w:p>
            <w:r>
              <w:t>0.998</w:t>
            </w:r>
          </w:p>
        </w:tc>
        <w:tc>
          <w:tcPr>
            <w:tcW w:type="dxa" w:w="1206"/>
          </w:tcPr>
          <w:p>
            <w:r>
              <w:t>0.981</w:t>
            </w:r>
          </w:p>
        </w:tc>
      </w:tr>
      <w:tr>
        <w:tc>
          <w:tcPr>
            <w:tcW w:type="dxa" w:w="1206"/>
          </w:tcPr>
          <w:p>
            <w:r>
              <w:t>S&amp;P 500 (index)</w:t>
            </w:r>
          </w:p>
        </w:tc>
        <w:tc>
          <w:tcPr>
            <w:tcW w:type="dxa" w:w="1206"/>
          </w:tcPr>
          <w:p>
            <w:r>
              <w:t>M16</w:t>
            </w:r>
          </w:p>
        </w:tc>
        <w:tc>
          <w:tcPr>
            <w:tcW w:type="dxa" w:w="1206"/>
          </w:tcPr>
          <w:p>
            <w:r>
              <w:t>1.009</w:t>
            </w:r>
          </w:p>
        </w:tc>
        <w:tc>
          <w:tcPr>
            <w:tcW w:type="dxa" w:w="1206"/>
          </w:tcPr>
          <w:p>
            <w:r>
              <w:t>0.660</w:t>
            </w:r>
          </w:p>
        </w:tc>
        <w:tc>
          <w:tcPr>
            <w:tcW w:type="dxa" w:w="1206"/>
          </w:tcPr>
          <w:p>
            <w:r>
              <w:t>0.579</w:t>
            </w:r>
          </w:p>
        </w:tc>
        <w:tc>
          <w:tcPr>
            <w:tcW w:type="dxa" w:w="1206"/>
          </w:tcPr>
          <w:p>
            <w:r>
              <w:t>0.698</w:t>
            </w:r>
          </w:p>
        </w:tc>
        <w:tc>
          <w:tcPr>
            <w:tcW w:type="dxa" w:w="1206"/>
          </w:tcPr>
          <w:p>
            <w:r>
              <w:t>0.645</w:t>
            </w:r>
          </w:p>
        </w:tc>
        <w:tc>
          <w:tcPr>
            <w:tcW w:type="dxa" w:w="1206"/>
          </w:tcPr>
          <w:p>
            <w:r>
              <w:t>0.646</w:t>
            </w:r>
          </w:p>
        </w:tc>
      </w:tr>
      <w:tr>
        <w:tc>
          <w:tcPr>
            <w:tcW w:type="dxa" w:w="1206"/>
          </w:tcPr>
          <w:p>
            <w:r>
              <w:t>Dhaka 2023-2026</w:t>
            </w:r>
          </w:p>
        </w:tc>
        <w:tc>
          <w:tcPr>
            <w:tcW w:type="dxa" w:w="1206"/>
          </w:tcPr>
          <w:p>
            <w:r>
              <w:t>M17</w:t>
            </w:r>
          </w:p>
        </w:tc>
        <w:tc>
          <w:tcPr>
            <w:tcW w:type="dxa" w:w="1206"/>
          </w:tcPr>
          <w:p>
            <w:r>
              <w:t>1.002</w:t>
            </w:r>
          </w:p>
        </w:tc>
        <w:tc>
          <w:tcPr>
            <w:tcW w:type="dxa" w:w="1206"/>
          </w:tcPr>
          <w:p>
            <w:r>
              <w:t>1.128</w:t>
            </w:r>
          </w:p>
        </w:tc>
        <w:tc>
          <w:tcPr>
            <w:tcW w:type="dxa" w:w="1206"/>
          </w:tcPr>
          <w:p>
            <w:r>
              <w:t>1.116</w:t>
            </w:r>
          </w:p>
        </w:tc>
        <w:tc>
          <w:tcPr>
            <w:tcW w:type="dxa" w:w="1206"/>
          </w:tcPr>
          <w:p>
            <w:r>
              <w:t>1.662</w:t>
            </w:r>
          </w:p>
        </w:tc>
        <w:tc>
          <w:tcPr>
            <w:tcW w:type="dxa" w:w="1206"/>
          </w:tcPr>
          <w:p>
            <w:r>
              <w:t>1.709</w:t>
            </w:r>
          </w:p>
        </w:tc>
        <w:tc>
          <w:tcPr>
            <w:tcW w:type="dxa" w:w="1206"/>
          </w:tcPr>
          <w:p>
            <w:r>
              <w:t>1.604</w:t>
            </w:r>
          </w:p>
        </w:tc>
      </w:tr>
      <w:tr>
        <w:tc>
          <w:tcPr>
            <w:tcW w:type="dxa" w:w="1206"/>
          </w:tcPr>
          <w:p>
            <w:r>
              <w:t>Vietnam 2007-2020</w:t>
            </w:r>
          </w:p>
        </w:tc>
        <w:tc>
          <w:tcPr>
            <w:tcW w:type="dxa" w:w="1206"/>
          </w:tcPr>
          <w:p>
            <w:r>
              <w:t>M17</w:t>
            </w:r>
          </w:p>
        </w:tc>
        <w:tc>
          <w:tcPr>
            <w:tcW w:type="dxa" w:w="1206"/>
          </w:tcPr>
          <w:p>
            <w:r>
              <w:t>1.009</w:t>
            </w:r>
          </w:p>
        </w:tc>
        <w:tc>
          <w:tcPr>
            <w:tcW w:type="dxa" w:w="1206"/>
          </w:tcPr>
          <w:p>
            <w:r>
              <w:t>0.721</w:t>
            </w:r>
          </w:p>
        </w:tc>
        <w:tc>
          <w:tcPr>
            <w:tcW w:type="dxa" w:w="1206"/>
          </w:tcPr>
          <w:p>
            <w:r>
              <w:t>0.633</w:t>
            </w:r>
          </w:p>
        </w:tc>
        <w:tc>
          <w:tcPr>
            <w:tcW w:type="dxa" w:w="1206"/>
          </w:tcPr>
          <w:p>
            <w:r>
              <w:t>1.556</w:t>
            </w:r>
          </w:p>
        </w:tc>
        <w:tc>
          <w:tcPr>
            <w:tcW w:type="dxa" w:w="1206"/>
          </w:tcPr>
          <w:p>
            <w:r>
              <w:t>1.594</w:t>
            </w:r>
          </w:p>
        </w:tc>
        <w:tc>
          <w:tcPr>
            <w:tcW w:type="dxa" w:w="1206"/>
          </w:tcPr>
          <w:p>
            <w:r>
              <w:t>1.531</w:t>
            </w:r>
          </w:p>
        </w:tc>
      </w:tr>
      <w:tr>
        <w:tc>
          <w:tcPr>
            <w:tcW w:type="dxa" w:w="1206"/>
          </w:tcPr>
          <w:p>
            <w:r>
              <w:t>Dhaka 2009-2021 (dates repaired)</w:t>
            </w:r>
          </w:p>
        </w:tc>
        <w:tc>
          <w:tcPr>
            <w:tcW w:type="dxa" w:w="1206"/>
          </w:tcPr>
          <w:p>
            <w:r>
              <w:t>M17</w:t>
            </w:r>
          </w:p>
        </w:tc>
        <w:tc>
          <w:tcPr>
            <w:tcW w:type="dxa" w:w="1206"/>
          </w:tcPr>
          <w:p>
            <w:r>
              <w:t>1.004</w:t>
            </w:r>
          </w:p>
        </w:tc>
        <w:tc>
          <w:tcPr>
            <w:tcW w:type="dxa" w:w="1206"/>
          </w:tcPr>
          <w:p>
            <w:r>
              <w:t>0.995</w:t>
            </w:r>
          </w:p>
        </w:tc>
        <w:tc>
          <w:tcPr>
            <w:tcW w:type="dxa" w:w="1206"/>
          </w:tcPr>
          <w:p>
            <w:r>
              <w:t>0.988</w:t>
            </w:r>
          </w:p>
        </w:tc>
        <w:tc>
          <w:tcPr>
            <w:tcW w:type="dxa" w:w="1206"/>
          </w:tcPr>
          <w:p>
            <w:r>
              <w:t>1.392</w:t>
            </w:r>
          </w:p>
        </w:tc>
        <w:tc>
          <w:tcPr>
            <w:tcW w:type="dxa" w:w="1206"/>
          </w:tcPr>
          <w:p>
            <w:r>
              <w:t>1.418</w:t>
            </w:r>
          </w:p>
        </w:tc>
        <w:tc>
          <w:tcPr>
            <w:tcW w:type="dxa" w:w="1206"/>
          </w:tcPr>
          <w:p>
            <w:r>
              <w:t>1.352</w:t>
            </w:r>
          </w:p>
        </w:tc>
      </w:tr>
      <w:tr>
        <w:tc>
          <w:tcPr>
            <w:tcW w:type="dxa" w:w="1206"/>
          </w:tcPr>
          <w:p>
            <w:r>
              <w:t>Morocco 2012-2026</w:t>
            </w:r>
          </w:p>
        </w:tc>
        <w:tc>
          <w:tcPr>
            <w:tcW w:type="dxa" w:w="1206"/>
          </w:tcPr>
          <w:p>
            <w:r>
              <w:t>M18</w:t>
            </w:r>
          </w:p>
        </w:tc>
        <w:tc>
          <w:tcPr>
            <w:tcW w:type="dxa" w:w="1206"/>
          </w:tcPr>
          <w:p>
            <w:r>
              <w:t>1.005</w:t>
            </w:r>
          </w:p>
        </w:tc>
        <w:tc>
          <w:tcPr>
            <w:tcW w:type="dxa" w:w="1206"/>
          </w:tcPr>
          <w:p>
            <w:r>
              <w:t>0.544</w:t>
            </w:r>
          </w:p>
        </w:tc>
        <w:tc>
          <w:tcPr>
            <w:tcW w:type="dxa" w:w="1206"/>
          </w:tcPr>
          <w:p>
            <w:r>
              <w:t>0.453</w:t>
            </w:r>
          </w:p>
        </w:tc>
        <w:tc>
          <w:tcPr>
            <w:tcW w:type="dxa" w:w="1206"/>
          </w:tcPr>
          <w:p>
            <w:r>
              <w:t>1.283</w:t>
            </w:r>
          </w:p>
        </w:tc>
        <w:tc>
          <w:tcPr>
            <w:tcW w:type="dxa" w:w="1206"/>
          </w:tcPr>
          <w:p>
            <w:r>
              <w:t>1.273</w:t>
            </w:r>
          </w:p>
        </w:tc>
        <w:tc>
          <w:tcPr>
            <w:tcW w:type="dxa" w:w="1206"/>
          </w:tcPr>
          <w:p>
            <w:r>
              <w:t>1.235</w:t>
            </w:r>
          </w:p>
        </w:tc>
      </w:tr>
    </w:tbl>
    <w:p/>
    <w:p>
      <w:pPr/>
      <w:r>
        <w:t>Table 36. Every frozen verdict for Anam's estimator and its open-free form, applied mechanically from the decision ledgers of plans M16-M18. Failed predictions are listed with the ones that held. 'Best in market' and 'best in panel' are the plans' names for 'no rival has significantly lower loss at either horizon'; they do not mean the lowest loss.</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trPr>
        <w:tc>
          <w:tcPr>
            <w:tcW w:type="dxa" w:w="1608"/>
          </w:tcPr>
          <w:p>
            <w:r>
              <w:t>Plan</w:t>
            </w:r>
          </w:p>
        </w:tc>
        <w:tc>
          <w:tcPr>
            <w:tcW w:type="dxa" w:w="1608"/>
          </w:tcPr>
          <w:p>
            <w:r>
              <w:t>Rule</w:t>
            </w:r>
          </w:p>
        </w:tc>
        <w:tc>
          <w:tcPr>
            <w:tcW w:type="dxa" w:w="1608"/>
          </w:tcPr>
          <w:p>
            <w:r>
              <w:t>Test sample</w:t>
            </w:r>
          </w:p>
        </w:tc>
        <w:tc>
          <w:tcPr>
            <w:tcW w:type="dxa" w:w="1608"/>
          </w:tcPr>
          <w:p>
            <w:r>
              <w:t>Estimator tested</w:t>
            </w:r>
          </w:p>
        </w:tc>
        <w:tc>
          <w:tcPr>
            <w:tcW w:type="dxa" w:w="1608"/>
          </w:tcPr>
          <w:p>
            <w:r>
              <w:t>Verdict (frozen rule, applied mechanically)</w:t>
            </w:r>
          </w:p>
        </w:tc>
        <w:tc>
          <w:tcPr>
            <w:tcW w:type="dxa" w:w="1608"/>
          </w:tcPr>
          <w:p>
            <w:r>
              <w:t>Evidence</w:t>
            </w:r>
          </w:p>
        </w:tc>
      </w:tr>
      <w:tr>
        <w:tc>
          <w:tcPr>
            <w:tcW w:type="dxa" w:w="1608"/>
          </w:tcPr>
          <w:p>
            <w:r>
              <w:t>M16</w:t>
            </w:r>
          </w:p>
        </w:tc>
        <w:tc>
          <w:tcPr>
            <w:tcW w:type="dxa" w:w="1608"/>
          </w:tcPr>
          <w:p>
            <w:r>
              <w:t>H1</w:t>
            </w:r>
          </w:p>
        </w:tc>
        <w:tc>
          <w:tcPr>
            <w:tcW w:type="dxa" w:w="1608"/>
          </w:tcPr>
          <w:p>
            <w:r>
              <w:t>NEPSE</w:t>
            </w:r>
          </w:p>
        </w:tc>
        <w:tc>
          <w:tcPr>
            <w:tcW w:type="dxa" w:w="1608"/>
          </w:tcPr>
          <w:p>
            <w:r>
              <w:t>Anam</w:t>
            </w:r>
          </w:p>
        </w:tc>
        <w:tc>
          <w:tcPr>
            <w:tcW w:type="dxa" w:w="1608"/>
          </w:tcPr>
          <w:p>
            <w:r>
              <w:t>does not hold</w:t>
            </w:r>
          </w:p>
        </w:tc>
        <w:tc>
          <w:tcPr>
            <w:tcW w:type="dxa" w:w="1608"/>
          </w:tcPr>
          <w:p>
            <w:r>
              <w:t>5 sessions on A2+C: Anam no difference CC; Anam beats P</w:t>
            </w:r>
          </w:p>
        </w:tc>
      </w:tr>
      <w:tr>
        <w:tc>
          <w:tcPr>
            <w:tcW w:type="dxa" w:w="1608"/>
          </w:tcPr>
          <w:p>
            <w:r>
              <w:t>M16</w:t>
            </w:r>
          </w:p>
        </w:tc>
        <w:tc>
          <w:tcPr>
            <w:tcW w:type="dxa" w:w="1608"/>
          </w:tcPr>
          <w:p>
            <w:r>
              <w:t>H2</w:t>
            </w:r>
          </w:p>
        </w:tc>
        <w:tc>
          <w:tcPr>
            <w:tcW w:type="dxa" w:w="1608"/>
          </w:tcPr>
          <w:p>
            <w:r>
              <w:t>NEPSE</w:t>
            </w:r>
          </w:p>
        </w:tc>
        <w:tc>
          <w:tcPr>
            <w:tcW w:type="dxa" w:w="1608"/>
          </w:tcPr>
          <w:p>
            <w:r>
              <w:t>Anam</w:t>
            </w:r>
          </w:p>
        </w:tc>
        <w:tc>
          <w:tcPr>
            <w:tcW w:type="dxa" w:w="1608"/>
          </w:tcPr>
          <w:p>
            <w:r>
              <w:t>does not hold</w:t>
            </w:r>
          </w:p>
        </w:tc>
        <w:tc>
          <w:tcPr>
            <w:tcW w:type="dxa" w:w="1608"/>
          </w:tcPr>
          <w:p>
            <w:r>
              <w:t>Anam 1.011 (A2), 1.195 (C); overnight² + Parkinson 1.493, 2.761; YZ daily 1.583, 2.848</w:t>
            </w:r>
          </w:p>
        </w:tc>
      </w:tr>
      <w:tr>
        <w:tc>
          <w:tcPr>
            <w:tcW w:type="dxa" w:w="1608"/>
          </w:tcPr>
          <w:p>
            <w:r>
              <w:t>M16</w:t>
            </w:r>
          </w:p>
        </w:tc>
        <w:tc>
          <w:tcPr>
            <w:tcW w:type="dxa" w:w="1608"/>
          </w:tcPr>
          <w:p>
            <w:r>
              <w:t>H3</w:t>
            </w:r>
          </w:p>
        </w:tc>
        <w:tc>
          <w:tcPr>
            <w:tcW w:type="dxa" w:w="1608"/>
          </w:tcPr>
          <w:p>
            <w:r>
              <w:t>NEPSE</w:t>
            </w:r>
          </w:p>
        </w:tc>
        <w:tc>
          <w:tcPr>
            <w:tcW w:type="dxa" w:w="1608"/>
          </w:tcPr>
          <w:p>
            <w:r>
              <w:t>Anam</w:t>
            </w:r>
          </w:p>
        </w:tc>
        <w:tc>
          <w:tcPr>
            <w:tcW w:type="dxa" w:w="1608"/>
          </w:tcPr>
          <w:p>
            <w:r>
              <w:t>does not hold</w:t>
            </w:r>
          </w:p>
        </w:tc>
        <w:tc>
          <w:tcPr>
            <w:tcW w:type="dxa" w:w="1608"/>
          </w:tcPr>
          <w:p>
            <w:r>
              <w:t>change A2 -&gt; C: Anam +0.184; Yang-Zhang window form +1.170</w:t>
            </w:r>
          </w:p>
        </w:tc>
      </w:tr>
      <w:tr>
        <w:tc>
          <w:tcPr>
            <w:tcW w:type="dxa" w:w="1608"/>
          </w:tcPr>
          <w:p>
            <w:r>
              <w:t>M16</w:t>
            </w:r>
          </w:p>
        </w:tc>
        <w:tc>
          <w:tcPr>
            <w:tcW w:type="dxa" w:w="1608"/>
          </w:tcPr>
          <w:p>
            <w:r>
              <w:t>H4</w:t>
            </w:r>
          </w:p>
        </w:tc>
        <w:tc>
          <w:tcPr>
            <w:tcW w:type="dxa" w:w="1608"/>
          </w:tcPr>
          <w:p>
            <w:r>
              <w:t>NIFTY 50</w:t>
            </w:r>
          </w:p>
        </w:tc>
        <w:tc>
          <w:tcPr>
            <w:tcW w:type="dxa" w:w="1608"/>
          </w:tcPr>
          <w:p>
            <w:r>
              <w:t>Anam</w:t>
            </w:r>
          </w:p>
        </w:tc>
        <w:tc>
          <w:tcPr>
            <w:tcW w:type="dxa" w:w="1608"/>
          </w:tcPr>
          <w:p>
            <w:r>
              <w:t>holds</w:t>
            </w:r>
          </w:p>
        </w:tc>
        <w:tc>
          <w:tcPr>
            <w:tcW w:type="dxa" w:w="1608"/>
          </w:tcPr>
          <w:p>
            <w:r>
              <w:t>5 sessions on the test half: Anam beats CC</w:t>
            </w:r>
          </w:p>
        </w:tc>
      </w:tr>
      <w:tr>
        <w:tc>
          <w:tcPr>
            <w:tcW w:type="dxa" w:w="1608"/>
          </w:tcPr>
          <w:p>
            <w:r>
              <w:t>M16</w:t>
            </w:r>
          </w:p>
        </w:tc>
        <w:tc>
          <w:tcPr>
            <w:tcW w:type="dxa" w:w="1608"/>
          </w:tcPr>
          <w:p>
            <w:r>
              <w:t>H5</w:t>
            </w:r>
          </w:p>
        </w:tc>
        <w:tc>
          <w:tcPr>
            <w:tcW w:type="dxa" w:w="1608"/>
          </w:tcPr>
          <w:p>
            <w:r>
              <w:t>S&amp;P 500</w:t>
            </w:r>
          </w:p>
        </w:tc>
        <w:tc>
          <w:tcPr>
            <w:tcW w:type="dxa" w:w="1608"/>
          </w:tcPr>
          <w:p>
            <w:r>
              <w:t>Anam</w:t>
            </w:r>
          </w:p>
        </w:tc>
        <w:tc>
          <w:tcPr>
            <w:tcW w:type="dxa" w:w="1608"/>
          </w:tcPr>
          <w:p>
            <w:r>
              <w:t>holds</w:t>
            </w:r>
          </w:p>
        </w:tc>
        <w:tc>
          <w:tcPr>
            <w:tcW w:type="dxa" w:w="1608"/>
          </w:tcPr>
          <w:p>
            <w:r>
              <w:t>5 sessions on the test half: Anam beats CC</w:t>
            </w:r>
          </w:p>
        </w:tc>
      </w:tr>
      <w:tr>
        <w:tc>
          <w:tcPr>
            <w:tcW w:type="dxa" w:w="1608"/>
          </w:tcPr>
          <w:p>
            <w:r>
              <w:t>M16</w:t>
            </w:r>
          </w:p>
        </w:tc>
        <w:tc>
          <w:tcPr>
            <w:tcW w:type="dxa" w:w="1608"/>
          </w:tcPr>
          <w:p>
            <w:r>
              <w:t>best in market</w:t>
            </w:r>
          </w:p>
        </w:tc>
        <w:tc>
          <w:tcPr>
            <w:tcW w:type="dxa" w:w="1608"/>
          </w:tcPr>
          <w:p>
            <w:r>
              <w:t>NEPSE</w:t>
            </w:r>
          </w:p>
        </w:tc>
        <w:tc>
          <w:tcPr>
            <w:tcW w:type="dxa" w:w="1608"/>
          </w:tcPr>
          <w:p>
            <w:r>
              <w:t>Anam</w:t>
            </w:r>
          </w:p>
        </w:tc>
        <w:tc>
          <w:tcPr>
            <w:tcW w:type="dxa" w:w="1608"/>
          </w:tcPr>
          <w:p>
            <w:r>
              <w:t>yes</w:t>
            </w:r>
          </w:p>
        </w:tc>
        <w:tc>
          <w:tcPr>
            <w:tcW w:type="dxa" w:w="1608"/>
          </w:tcPr>
          <w:p>
            <w:r>
              <w:t>no rival beats Anam at 5 or 21 sessions</w:t>
            </w:r>
          </w:p>
        </w:tc>
      </w:tr>
      <w:tr>
        <w:tc>
          <w:tcPr>
            <w:tcW w:type="dxa" w:w="1608"/>
          </w:tcPr>
          <w:p>
            <w:r>
              <w:t>M16</w:t>
            </w:r>
          </w:p>
        </w:tc>
        <w:tc>
          <w:tcPr>
            <w:tcW w:type="dxa" w:w="1608"/>
          </w:tcPr>
          <w:p>
            <w:r>
              <w:t>best in market</w:t>
            </w:r>
          </w:p>
        </w:tc>
        <w:tc>
          <w:tcPr>
            <w:tcW w:type="dxa" w:w="1608"/>
          </w:tcPr>
          <w:p>
            <w:r>
              <w:t>NIFTY 50</w:t>
            </w:r>
          </w:p>
        </w:tc>
        <w:tc>
          <w:tcPr>
            <w:tcW w:type="dxa" w:w="1608"/>
          </w:tcPr>
          <w:p>
            <w:r>
              <w:t>Anam</w:t>
            </w:r>
          </w:p>
        </w:tc>
        <w:tc>
          <w:tcPr>
            <w:tcW w:type="dxa" w:w="1608"/>
          </w:tcPr>
          <w:p>
            <w:r>
              <w:t>yes</w:t>
            </w:r>
          </w:p>
        </w:tc>
        <w:tc>
          <w:tcPr>
            <w:tcW w:type="dxa" w:w="1608"/>
          </w:tcPr>
          <w:p>
            <w:r>
              <w:t>no rival beats Anam at 5 or 21 sessions</w:t>
            </w:r>
          </w:p>
        </w:tc>
      </w:tr>
      <w:tr>
        <w:tc>
          <w:tcPr>
            <w:tcW w:type="dxa" w:w="1608"/>
          </w:tcPr>
          <w:p>
            <w:r>
              <w:t>M16</w:t>
            </w:r>
          </w:p>
        </w:tc>
        <w:tc>
          <w:tcPr>
            <w:tcW w:type="dxa" w:w="1608"/>
          </w:tcPr>
          <w:p>
            <w:r>
              <w:t>best in market</w:t>
            </w:r>
          </w:p>
        </w:tc>
        <w:tc>
          <w:tcPr>
            <w:tcW w:type="dxa" w:w="1608"/>
          </w:tcPr>
          <w:p>
            <w:r>
              <w:t>S&amp;P 500</w:t>
            </w:r>
          </w:p>
        </w:tc>
        <w:tc>
          <w:tcPr>
            <w:tcW w:type="dxa" w:w="1608"/>
          </w:tcPr>
          <w:p>
            <w:r>
              <w:t>Anam</w:t>
            </w:r>
          </w:p>
        </w:tc>
        <w:tc>
          <w:tcPr>
            <w:tcW w:type="dxa" w:w="1608"/>
          </w:tcPr>
          <w:p>
            <w:r>
              <w:t>yes</w:t>
            </w:r>
          </w:p>
        </w:tc>
        <w:tc>
          <w:tcPr>
            <w:tcW w:type="dxa" w:w="1608"/>
          </w:tcPr>
          <w:p>
            <w:r>
              <w:t>no rival beats Anam at 5 or 21 sessions</w:t>
            </w:r>
          </w:p>
        </w:tc>
      </w:tr>
      <w:tr>
        <w:tc>
          <w:tcPr>
            <w:tcW w:type="dxa" w:w="1608"/>
          </w:tcPr>
          <w:p>
            <w:r>
              <w:t>M17</w:t>
            </w:r>
          </w:p>
        </w:tc>
        <w:tc>
          <w:tcPr>
            <w:tcW w:type="dxa" w:w="1608"/>
          </w:tcPr>
          <w:p>
            <w:r>
              <w:t>F1</w:t>
            </w:r>
          </w:p>
        </w:tc>
        <w:tc>
          <w:tcPr>
            <w:tcW w:type="dxa" w:w="1608"/>
          </w:tcPr>
          <w:p>
            <w:r>
              <w:t>Dhaka 2023-2026</w:t>
            </w:r>
          </w:p>
        </w:tc>
        <w:tc>
          <w:tcPr>
            <w:tcW w:type="dxa" w:w="1608"/>
          </w:tcPr>
          <w:p>
            <w:r>
              <w:t>Anam</w:t>
            </w:r>
          </w:p>
        </w:tc>
        <w:tc>
          <w:tcPr>
            <w:tcW w:type="dxa" w:w="1608"/>
          </w:tcPr>
          <w:p>
            <w:r>
              <w:t>does not hold</w:t>
            </w:r>
          </w:p>
        </w:tc>
        <w:tc>
          <w:tcPr>
            <w:tcW w:type="dxa" w:w="1608"/>
          </w:tcPr>
          <w:p>
            <w:r>
              <w:t>5 sessions: Anam no difference CC</w:t>
            </w:r>
          </w:p>
        </w:tc>
      </w:tr>
      <w:tr>
        <w:tc>
          <w:tcPr>
            <w:tcW w:type="dxa" w:w="1608"/>
          </w:tcPr>
          <w:p>
            <w:r>
              <w:t>M17</w:t>
            </w:r>
          </w:p>
        </w:tc>
        <w:tc>
          <w:tcPr>
            <w:tcW w:type="dxa" w:w="1608"/>
          </w:tcPr>
          <w:p>
            <w:r>
              <w:t>F2</w:t>
            </w:r>
          </w:p>
        </w:tc>
        <w:tc>
          <w:tcPr>
            <w:tcW w:type="dxa" w:w="1608"/>
          </w:tcPr>
          <w:p>
            <w:r>
              <w:t>Dhaka 2023-2026</w:t>
            </w:r>
          </w:p>
        </w:tc>
        <w:tc>
          <w:tcPr>
            <w:tcW w:type="dxa" w:w="1608"/>
          </w:tcPr>
          <w:p>
            <w:r>
              <w:t>Anam</w:t>
            </w:r>
          </w:p>
        </w:tc>
        <w:tc>
          <w:tcPr>
            <w:tcW w:type="dxa" w:w="1608"/>
          </w:tcPr>
          <w:p>
            <w:r>
              <w:t>holds</w:t>
            </w:r>
          </w:p>
        </w:tc>
        <w:tc>
          <w:tcPr>
            <w:tcW w:type="dxa" w:w="1608"/>
          </w:tcPr>
          <w:p>
            <w:r>
              <w:t>5 sessions: Anam beats P</w:t>
            </w:r>
          </w:p>
        </w:tc>
      </w:tr>
      <w:tr>
        <w:tc>
          <w:tcPr>
            <w:tcW w:type="dxa" w:w="1608"/>
          </w:tcPr>
          <w:p>
            <w:r>
              <w:t>M17</w:t>
            </w:r>
          </w:p>
        </w:tc>
        <w:tc>
          <w:tcPr>
            <w:tcW w:type="dxa" w:w="1608"/>
          </w:tcPr>
          <w:p>
            <w:r>
              <w:t>F3</w:t>
            </w:r>
          </w:p>
        </w:tc>
        <w:tc>
          <w:tcPr>
            <w:tcW w:type="dxa" w:w="1608"/>
          </w:tcPr>
          <w:p>
            <w:r>
              <w:t>Dhaka 2023-2026</w:t>
            </w:r>
          </w:p>
        </w:tc>
        <w:tc>
          <w:tcPr>
            <w:tcW w:type="dxa" w:w="1608"/>
          </w:tcPr>
          <w:p>
            <w:r>
              <w:t>Anam</w:t>
            </w:r>
          </w:p>
        </w:tc>
        <w:tc>
          <w:tcPr>
            <w:tcW w:type="dxa" w:w="1608"/>
          </w:tcPr>
          <w:p>
            <w:r>
              <w:t>holds</w:t>
            </w:r>
          </w:p>
        </w:tc>
        <w:tc>
          <w:tcPr>
            <w:tcW w:type="dxa" w:w="1608"/>
          </w:tcPr>
          <w:p>
            <w:r>
              <w:t>Anam (calibrated) 1.002; overnight² + Parkinson 1.662; YZ daily form 1.709</w:t>
            </w:r>
          </w:p>
        </w:tc>
      </w:tr>
      <w:tr>
        <w:tc>
          <w:tcPr>
            <w:tcW w:type="dxa" w:w="1608"/>
          </w:tcPr>
          <w:p>
            <w:r>
              <w:t>M17</w:t>
            </w:r>
          </w:p>
        </w:tc>
        <w:tc>
          <w:tcPr>
            <w:tcW w:type="dxa" w:w="1608"/>
          </w:tcPr>
          <w:p>
            <w:r>
              <w:t>best in panel</w:t>
            </w:r>
          </w:p>
        </w:tc>
        <w:tc>
          <w:tcPr>
            <w:tcW w:type="dxa" w:w="1608"/>
          </w:tcPr>
          <w:p>
            <w:r>
              <w:t>Dhaka 2023-2026</w:t>
            </w:r>
          </w:p>
        </w:tc>
        <w:tc>
          <w:tcPr>
            <w:tcW w:type="dxa" w:w="1608"/>
          </w:tcPr>
          <w:p>
            <w:r>
              <w:t>Anam</w:t>
            </w:r>
          </w:p>
        </w:tc>
        <w:tc>
          <w:tcPr>
            <w:tcW w:type="dxa" w:w="1608"/>
          </w:tcPr>
          <w:p>
            <w:r>
              <w:t>yes</w:t>
            </w:r>
          </w:p>
        </w:tc>
        <w:tc>
          <w:tcPr>
            <w:tcW w:type="dxa" w:w="1608"/>
          </w:tcPr>
          <w:p>
            <w:r>
              <w:t>no rival beats Anam at 5 or 21 sessions</w:t>
            </w:r>
          </w:p>
        </w:tc>
      </w:tr>
      <w:tr>
        <w:tc>
          <w:tcPr>
            <w:tcW w:type="dxa" w:w="1608"/>
          </w:tcPr>
          <w:p>
            <w:r>
              <w:t>M17</w:t>
            </w:r>
          </w:p>
        </w:tc>
        <w:tc>
          <w:tcPr>
            <w:tcW w:type="dxa" w:w="1608"/>
          </w:tcPr>
          <w:p>
            <w:r>
              <w:t>F1</w:t>
            </w:r>
          </w:p>
        </w:tc>
        <w:tc>
          <w:tcPr>
            <w:tcW w:type="dxa" w:w="1608"/>
          </w:tcPr>
          <w:p>
            <w:r>
              <w:t>Vietnam 2007-2020</w:t>
            </w:r>
          </w:p>
        </w:tc>
        <w:tc>
          <w:tcPr>
            <w:tcW w:type="dxa" w:w="1608"/>
          </w:tcPr>
          <w:p>
            <w:r>
              <w:t>Anam</w:t>
            </w:r>
          </w:p>
        </w:tc>
        <w:tc>
          <w:tcPr>
            <w:tcW w:type="dxa" w:w="1608"/>
          </w:tcPr>
          <w:p>
            <w:r>
              <w:t>does not hold</w:t>
            </w:r>
          </w:p>
        </w:tc>
        <w:tc>
          <w:tcPr>
            <w:tcW w:type="dxa" w:w="1608"/>
          </w:tcPr>
          <w:p>
            <w:r>
              <w:t>5 sessions: Anam no difference CC</w:t>
            </w:r>
          </w:p>
        </w:tc>
      </w:tr>
      <w:tr>
        <w:tc>
          <w:tcPr>
            <w:tcW w:type="dxa" w:w="1608"/>
          </w:tcPr>
          <w:p>
            <w:r>
              <w:t>M17</w:t>
            </w:r>
          </w:p>
        </w:tc>
        <w:tc>
          <w:tcPr>
            <w:tcW w:type="dxa" w:w="1608"/>
          </w:tcPr>
          <w:p>
            <w:r>
              <w:t>F2</w:t>
            </w:r>
          </w:p>
        </w:tc>
        <w:tc>
          <w:tcPr>
            <w:tcW w:type="dxa" w:w="1608"/>
          </w:tcPr>
          <w:p>
            <w:r>
              <w:t>Vietnam 2007-2020</w:t>
            </w:r>
          </w:p>
        </w:tc>
        <w:tc>
          <w:tcPr>
            <w:tcW w:type="dxa" w:w="1608"/>
          </w:tcPr>
          <w:p>
            <w:r>
              <w:t>Anam</w:t>
            </w:r>
          </w:p>
        </w:tc>
        <w:tc>
          <w:tcPr>
            <w:tcW w:type="dxa" w:w="1608"/>
          </w:tcPr>
          <w:p>
            <w:r>
              <w:t>holds</w:t>
            </w:r>
          </w:p>
        </w:tc>
        <w:tc>
          <w:tcPr>
            <w:tcW w:type="dxa" w:w="1608"/>
          </w:tcPr>
          <w:p>
            <w:r>
              <w:t>5 sessions: Anam beats P</w:t>
            </w:r>
          </w:p>
        </w:tc>
      </w:tr>
      <w:tr>
        <w:tc>
          <w:tcPr>
            <w:tcW w:type="dxa" w:w="1608"/>
          </w:tcPr>
          <w:p>
            <w:r>
              <w:t>M17</w:t>
            </w:r>
          </w:p>
        </w:tc>
        <w:tc>
          <w:tcPr>
            <w:tcW w:type="dxa" w:w="1608"/>
          </w:tcPr>
          <w:p>
            <w:r>
              <w:t>F3</w:t>
            </w:r>
          </w:p>
        </w:tc>
        <w:tc>
          <w:tcPr>
            <w:tcW w:type="dxa" w:w="1608"/>
          </w:tcPr>
          <w:p>
            <w:r>
              <w:t>Vietnam 2007-2020</w:t>
            </w:r>
          </w:p>
        </w:tc>
        <w:tc>
          <w:tcPr>
            <w:tcW w:type="dxa" w:w="1608"/>
          </w:tcPr>
          <w:p>
            <w:r>
              <w:t>Anam</w:t>
            </w:r>
          </w:p>
        </w:tc>
        <w:tc>
          <w:tcPr>
            <w:tcW w:type="dxa" w:w="1608"/>
          </w:tcPr>
          <w:p>
            <w:r>
              <w:t>holds</w:t>
            </w:r>
          </w:p>
        </w:tc>
        <w:tc>
          <w:tcPr>
            <w:tcW w:type="dxa" w:w="1608"/>
          </w:tcPr>
          <w:p>
            <w:r>
              <w:t>Anam (calibrated) 1.009; overnight² + Parkinson 1.556; YZ daily form 1.594</w:t>
            </w:r>
          </w:p>
        </w:tc>
      </w:tr>
      <w:tr>
        <w:tc>
          <w:tcPr>
            <w:tcW w:type="dxa" w:w="1608"/>
          </w:tcPr>
          <w:p>
            <w:r>
              <w:t>M17</w:t>
            </w:r>
          </w:p>
        </w:tc>
        <w:tc>
          <w:tcPr>
            <w:tcW w:type="dxa" w:w="1608"/>
          </w:tcPr>
          <w:p>
            <w:r>
              <w:t>best in panel</w:t>
            </w:r>
          </w:p>
        </w:tc>
        <w:tc>
          <w:tcPr>
            <w:tcW w:type="dxa" w:w="1608"/>
          </w:tcPr>
          <w:p>
            <w:r>
              <w:t>Vietnam 2007-2020</w:t>
            </w:r>
          </w:p>
        </w:tc>
        <w:tc>
          <w:tcPr>
            <w:tcW w:type="dxa" w:w="1608"/>
          </w:tcPr>
          <w:p>
            <w:r>
              <w:t>Anam</w:t>
            </w:r>
          </w:p>
        </w:tc>
        <w:tc>
          <w:tcPr>
            <w:tcW w:type="dxa" w:w="1608"/>
          </w:tcPr>
          <w:p>
            <w:r>
              <w:t>no</w:t>
            </w:r>
          </w:p>
        </w:tc>
        <w:tc>
          <w:tcPr>
            <w:tcW w:type="dxa" w:w="1608"/>
          </w:tcPr>
          <w:p>
            <w:r>
              <w:t>Anam loses to CC at 21</w:t>
            </w:r>
          </w:p>
        </w:tc>
      </w:tr>
      <w:tr>
        <w:tc>
          <w:tcPr>
            <w:tcW w:type="dxa" w:w="1608"/>
          </w:tcPr>
          <w:p>
            <w:r>
              <w:t>M17</w:t>
            </w:r>
          </w:p>
        </w:tc>
        <w:tc>
          <w:tcPr>
            <w:tcW w:type="dxa" w:w="1608"/>
          </w:tcPr>
          <w:p>
            <w:r>
              <w:t>F1</w:t>
            </w:r>
          </w:p>
        </w:tc>
        <w:tc>
          <w:tcPr>
            <w:tcW w:type="dxa" w:w="1608"/>
          </w:tcPr>
          <w:p>
            <w:r>
              <w:t>Dhaka 2009-2021 (dates repaired)</w:t>
            </w:r>
          </w:p>
        </w:tc>
        <w:tc>
          <w:tcPr>
            <w:tcW w:type="dxa" w:w="1608"/>
          </w:tcPr>
          <w:p>
            <w:r>
              <w:t>Anam</w:t>
            </w:r>
          </w:p>
        </w:tc>
        <w:tc>
          <w:tcPr>
            <w:tcW w:type="dxa" w:w="1608"/>
          </w:tcPr>
          <w:p>
            <w:r>
              <w:t>holds</w:t>
            </w:r>
          </w:p>
        </w:tc>
        <w:tc>
          <w:tcPr>
            <w:tcW w:type="dxa" w:w="1608"/>
          </w:tcPr>
          <w:p>
            <w:r>
              <w:t>5 sessions: Anam beats CC</w:t>
            </w:r>
          </w:p>
        </w:tc>
      </w:tr>
      <w:tr>
        <w:tc>
          <w:tcPr>
            <w:tcW w:type="dxa" w:w="1608"/>
          </w:tcPr>
          <w:p>
            <w:r>
              <w:t>M17</w:t>
            </w:r>
          </w:p>
        </w:tc>
        <w:tc>
          <w:tcPr>
            <w:tcW w:type="dxa" w:w="1608"/>
          </w:tcPr>
          <w:p>
            <w:r>
              <w:t>F2</w:t>
            </w:r>
          </w:p>
        </w:tc>
        <w:tc>
          <w:tcPr>
            <w:tcW w:type="dxa" w:w="1608"/>
          </w:tcPr>
          <w:p>
            <w:r>
              <w:t>Dhaka 2009-2021 (dates repaired)</w:t>
            </w:r>
          </w:p>
        </w:tc>
        <w:tc>
          <w:tcPr>
            <w:tcW w:type="dxa" w:w="1608"/>
          </w:tcPr>
          <w:p>
            <w:r>
              <w:t>Anam</w:t>
            </w:r>
          </w:p>
        </w:tc>
        <w:tc>
          <w:tcPr>
            <w:tcW w:type="dxa" w:w="1608"/>
          </w:tcPr>
          <w:p>
            <w:r>
              <w:t>holds</w:t>
            </w:r>
          </w:p>
        </w:tc>
        <w:tc>
          <w:tcPr>
            <w:tcW w:type="dxa" w:w="1608"/>
          </w:tcPr>
          <w:p>
            <w:r>
              <w:t>5 sessions: Anam beats P</w:t>
            </w:r>
          </w:p>
        </w:tc>
      </w:tr>
      <w:tr>
        <w:tc>
          <w:tcPr>
            <w:tcW w:type="dxa" w:w="1608"/>
          </w:tcPr>
          <w:p>
            <w:r>
              <w:t>M17</w:t>
            </w:r>
          </w:p>
        </w:tc>
        <w:tc>
          <w:tcPr>
            <w:tcW w:type="dxa" w:w="1608"/>
          </w:tcPr>
          <w:p>
            <w:r>
              <w:t>F3</w:t>
            </w:r>
          </w:p>
        </w:tc>
        <w:tc>
          <w:tcPr>
            <w:tcW w:type="dxa" w:w="1608"/>
          </w:tcPr>
          <w:p>
            <w:r>
              <w:t>Dhaka 2009-2021 (dates repaired)</w:t>
            </w:r>
          </w:p>
        </w:tc>
        <w:tc>
          <w:tcPr>
            <w:tcW w:type="dxa" w:w="1608"/>
          </w:tcPr>
          <w:p>
            <w:r>
              <w:t>Anam</w:t>
            </w:r>
          </w:p>
        </w:tc>
        <w:tc>
          <w:tcPr>
            <w:tcW w:type="dxa" w:w="1608"/>
          </w:tcPr>
          <w:p>
            <w:r>
              <w:t>holds</w:t>
            </w:r>
          </w:p>
        </w:tc>
        <w:tc>
          <w:tcPr>
            <w:tcW w:type="dxa" w:w="1608"/>
          </w:tcPr>
          <w:p>
            <w:r>
              <w:t>Anam (calibrated) 1.004; overnight² + Parkinson 1.392; YZ daily form 1.418</w:t>
            </w:r>
          </w:p>
        </w:tc>
      </w:tr>
      <w:tr>
        <w:tc>
          <w:tcPr>
            <w:tcW w:type="dxa" w:w="1608"/>
          </w:tcPr>
          <w:p>
            <w:r>
              <w:t>M17</w:t>
            </w:r>
          </w:p>
        </w:tc>
        <w:tc>
          <w:tcPr>
            <w:tcW w:type="dxa" w:w="1608"/>
          </w:tcPr>
          <w:p>
            <w:r>
              <w:t>best in panel</w:t>
            </w:r>
          </w:p>
        </w:tc>
        <w:tc>
          <w:tcPr>
            <w:tcW w:type="dxa" w:w="1608"/>
          </w:tcPr>
          <w:p>
            <w:r>
              <w:t>Dhaka 2009-2021 (dates repaired)</w:t>
            </w:r>
          </w:p>
        </w:tc>
        <w:tc>
          <w:tcPr>
            <w:tcW w:type="dxa" w:w="1608"/>
          </w:tcPr>
          <w:p>
            <w:r>
              <w:t>Anam</w:t>
            </w:r>
          </w:p>
        </w:tc>
        <w:tc>
          <w:tcPr>
            <w:tcW w:type="dxa" w:w="1608"/>
          </w:tcPr>
          <w:p>
            <w:r>
              <w:t>yes</w:t>
            </w:r>
          </w:p>
        </w:tc>
        <w:tc>
          <w:tcPr>
            <w:tcW w:type="dxa" w:w="1608"/>
          </w:tcPr>
          <w:p>
            <w:r>
              <w:t>no rival beats Anam at 5 or 21 sessions</w:t>
            </w:r>
          </w:p>
        </w:tc>
      </w:tr>
      <w:tr>
        <w:tc>
          <w:tcPr>
            <w:tcW w:type="dxa" w:w="1608"/>
          </w:tcPr>
          <w:p>
            <w:r>
              <w:t>M17</w:t>
            </w:r>
          </w:p>
        </w:tc>
        <w:tc>
          <w:tcPr>
            <w:tcW w:type="dxa" w:w="1608"/>
          </w:tcPr>
          <w:p>
            <w:r>
              <w:t>G</w:t>
            </w:r>
          </w:p>
        </w:tc>
        <w:tc>
          <w:tcPr>
            <w:tcW w:type="dxa" w:w="1608"/>
          </w:tcPr>
          <w:p>
            <w:r>
              <w:t>Dhaka 2023-2026 and Vietnam 2007-2020</w:t>
            </w:r>
          </w:p>
        </w:tc>
        <w:tc>
          <w:tcPr>
            <w:tcW w:type="dxa" w:w="1608"/>
          </w:tcPr>
          <w:p>
            <w:r>
              <w:t>Anam</w:t>
            </w:r>
          </w:p>
        </w:tc>
        <w:tc>
          <w:tcPr>
            <w:tcW w:type="dxa" w:w="1608"/>
          </w:tcPr>
          <w:p>
            <w:r>
              <w:t>does not hold</w:t>
            </w:r>
          </w:p>
        </w:tc>
        <w:tc>
          <w:tcPr>
            <w:tcW w:type="dxa" w:w="1608"/>
          </w:tcPr>
          <w:p>
            <w:r>
              <w:t>DSE 2023-2026: F1, F2 and best in panel not all hold; Vietnam 2007-2020: F1, F2 and best in panel not all hold</w:t>
            </w:r>
          </w:p>
        </w:tc>
      </w:tr>
      <w:tr>
        <w:tc>
          <w:tcPr>
            <w:tcW w:type="dxa" w:w="1608"/>
          </w:tcPr>
          <w:p>
            <w:r>
              <w:t>M18</w:t>
            </w:r>
          </w:p>
        </w:tc>
        <w:tc>
          <w:tcPr>
            <w:tcW w:type="dxa" w:w="1608"/>
          </w:tcPr>
          <w:p>
            <w:r>
              <w:t>F1</w:t>
            </w:r>
          </w:p>
        </w:tc>
        <w:tc>
          <w:tcPr>
            <w:tcW w:type="dxa" w:w="1608"/>
          </w:tcPr>
          <w:p>
            <w:r>
              <w:t>Morocco 2012-2026</w:t>
            </w:r>
          </w:p>
        </w:tc>
        <w:tc>
          <w:tcPr>
            <w:tcW w:type="dxa" w:w="1608"/>
          </w:tcPr>
          <w:p>
            <w:r>
              <w:t>Anam</w:t>
            </w:r>
          </w:p>
        </w:tc>
        <w:tc>
          <w:tcPr>
            <w:tcW w:type="dxa" w:w="1608"/>
          </w:tcPr>
          <w:p>
            <w:r>
              <w:t>holds</w:t>
            </w:r>
          </w:p>
        </w:tc>
        <w:tc>
          <w:tcPr>
            <w:tcW w:type="dxa" w:w="1608"/>
          </w:tcPr>
          <w:p>
            <w:r>
              <w:t>5 sessions: Anam beats CC</w:t>
            </w:r>
          </w:p>
        </w:tc>
      </w:tr>
      <w:tr>
        <w:tc>
          <w:tcPr>
            <w:tcW w:type="dxa" w:w="1608"/>
          </w:tcPr>
          <w:p>
            <w:r>
              <w:t>M18</w:t>
            </w:r>
          </w:p>
        </w:tc>
        <w:tc>
          <w:tcPr>
            <w:tcW w:type="dxa" w:w="1608"/>
          </w:tcPr>
          <w:p>
            <w:r>
              <w:t>F2</w:t>
            </w:r>
          </w:p>
        </w:tc>
        <w:tc>
          <w:tcPr>
            <w:tcW w:type="dxa" w:w="1608"/>
          </w:tcPr>
          <w:p>
            <w:r>
              <w:t>Morocco 2012-2026</w:t>
            </w:r>
          </w:p>
        </w:tc>
        <w:tc>
          <w:tcPr>
            <w:tcW w:type="dxa" w:w="1608"/>
          </w:tcPr>
          <w:p>
            <w:r>
              <w:t>Anam</w:t>
            </w:r>
          </w:p>
        </w:tc>
        <w:tc>
          <w:tcPr>
            <w:tcW w:type="dxa" w:w="1608"/>
          </w:tcPr>
          <w:p>
            <w:r>
              <w:t>holds</w:t>
            </w:r>
          </w:p>
        </w:tc>
        <w:tc>
          <w:tcPr>
            <w:tcW w:type="dxa" w:w="1608"/>
          </w:tcPr>
          <w:p>
            <w:r>
              <w:t>5 sessions: Anam beats P</w:t>
            </w:r>
          </w:p>
        </w:tc>
      </w:tr>
      <w:tr>
        <w:tc>
          <w:tcPr>
            <w:tcW w:type="dxa" w:w="1608"/>
          </w:tcPr>
          <w:p>
            <w:r>
              <w:t>M18</w:t>
            </w:r>
          </w:p>
        </w:tc>
        <w:tc>
          <w:tcPr>
            <w:tcW w:type="dxa" w:w="1608"/>
          </w:tcPr>
          <w:p>
            <w:r>
              <w:t>F3</w:t>
            </w:r>
          </w:p>
        </w:tc>
        <w:tc>
          <w:tcPr>
            <w:tcW w:type="dxa" w:w="1608"/>
          </w:tcPr>
          <w:p>
            <w:r>
              <w:t>Morocco 2012-2026</w:t>
            </w:r>
          </w:p>
        </w:tc>
        <w:tc>
          <w:tcPr>
            <w:tcW w:type="dxa" w:w="1608"/>
          </w:tcPr>
          <w:p>
            <w:r>
              <w:t>Anam</w:t>
            </w:r>
          </w:p>
        </w:tc>
        <w:tc>
          <w:tcPr>
            <w:tcW w:type="dxa" w:w="1608"/>
          </w:tcPr>
          <w:p>
            <w:r>
              <w:t>holds</w:t>
            </w:r>
          </w:p>
        </w:tc>
        <w:tc>
          <w:tcPr>
            <w:tcW w:type="dxa" w:w="1608"/>
          </w:tcPr>
          <w:p>
            <w:r>
              <w:t>Anam (calibrated) 1.005; overnight² + Parkinson 1.283; YZ daily form 1.273</w:t>
            </w:r>
          </w:p>
        </w:tc>
      </w:tr>
      <w:tr>
        <w:tc>
          <w:tcPr>
            <w:tcW w:type="dxa" w:w="1608"/>
          </w:tcPr>
          <w:p>
            <w:r>
              <w:t>M18</w:t>
            </w:r>
          </w:p>
        </w:tc>
        <w:tc>
          <w:tcPr>
            <w:tcW w:type="dxa" w:w="1608"/>
          </w:tcPr>
          <w:p>
            <w:r>
              <w:t>best in panel</w:t>
            </w:r>
          </w:p>
        </w:tc>
        <w:tc>
          <w:tcPr>
            <w:tcW w:type="dxa" w:w="1608"/>
          </w:tcPr>
          <w:p>
            <w:r>
              <w:t>Morocco 2012-2026</w:t>
            </w:r>
          </w:p>
        </w:tc>
        <w:tc>
          <w:tcPr>
            <w:tcW w:type="dxa" w:w="1608"/>
          </w:tcPr>
          <w:p>
            <w:r>
              <w:t>Anam</w:t>
            </w:r>
          </w:p>
        </w:tc>
        <w:tc>
          <w:tcPr>
            <w:tcW w:type="dxa" w:w="1608"/>
          </w:tcPr>
          <w:p>
            <w:r>
              <w:t>yes</w:t>
            </w:r>
          </w:p>
        </w:tc>
        <w:tc>
          <w:tcPr>
            <w:tcW w:type="dxa" w:w="1608"/>
          </w:tcPr>
          <w:p>
            <w:r>
              <w:t>no rival beats Anam at 5 or 21 sessions</w:t>
            </w:r>
          </w:p>
        </w:tc>
      </w:tr>
      <w:tr>
        <w:tc>
          <w:tcPr>
            <w:tcW w:type="dxa" w:w="1608"/>
          </w:tcPr>
          <w:p>
            <w:r>
              <w:t>M18</w:t>
            </w:r>
          </w:p>
        </w:tc>
        <w:tc>
          <w:tcPr>
            <w:tcW w:type="dxa" w:w="1608"/>
          </w:tcPr>
          <w:p>
            <w:r>
              <w:t>V1</w:t>
            </w:r>
          </w:p>
        </w:tc>
        <w:tc>
          <w:tcPr>
            <w:tcW w:type="dxa" w:w="1608"/>
          </w:tcPr>
          <w:p>
            <w:r>
              <w:t>Morocco 2012-2026</w:t>
            </w:r>
          </w:p>
        </w:tc>
        <w:tc>
          <w:tcPr>
            <w:tcW w:type="dxa" w:w="1608"/>
          </w:tcPr>
          <w:p>
            <w:r>
              <w:t>open-free form</w:t>
            </w:r>
          </w:p>
        </w:tc>
        <w:tc>
          <w:tcPr>
            <w:tcW w:type="dxa" w:w="1608"/>
          </w:tcPr>
          <w:p>
            <w:r>
              <w:t>holds</w:t>
            </w:r>
          </w:p>
        </w:tc>
        <w:tc>
          <w:tcPr>
            <w:tcW w:type="dxa" w:w="1608"/>
          </w:tcPr>
          <w:p>
            <w:r>
              <w:t>5 sessions: open-free form beats CC</w:t>
            </w:r>
          </w:p>
        </w:tc>
      </w:tr>
      <w:tr>
        <w:tc>
          <w:tcPr>
            <w:tcW w:type="dxa" w:w="1608"/>
          </w:tcPr>
          <w:p>
            <w:r>
              <w:t>M18</w:t>
            </w:r>
          </w:p>
        </w:tc>
        <w:tc>
          <w:tcPr>
            <w:tcW w:type="dxa" w:w="1608"/>
          </w:tcPr>
          <w:p>
            <w:r>
              <w:t>V2</w:t>
            </w:r>
          </w:p>
        </w:tc>
        <w:tc>
          <w:tcPr>
            <w:tcW w:type="dxa" w:w="1608"/>
          </w:tcPr>
          <w:p>
            <w:r>
              <w:t>Morocco 2012-2026</w:t>
            </w:r>
          </w:p>
        </w:tc>
        <w:tc>
          <w:tcPr>
            <w:tcW w:type="dxa" w:w="1608"/>
          </w:tcPr>
          <w:p>
            <w:r>
              <w:t>open-free form</w:t>
            </w:r>
          </w:p>
        </w:tc>
        <w:tc>
          <w:tcPr>
            <w:tcW w:type="dxa" w:w="1608"/>
          </w:tcPr>
          <w:p>
            <w:r>
              <w:t>holds</w:t>
            </w:r>
          </w:p>
        </w:tc>
        <w:tc>
          <w:tcPr>
            <w:tcW w:type="dxa" w:w="1608"/>
          </w:tcPr>
          <w:p>
            <w:r>
              <w:t>5 sessions: open-free form beats Anam</w:t>
            </w:r>
          </w:p>
        </w:tc>
      </w:tr>
      <w:tr>
        <w:tc>
          <w:tcPr>
            <w:tcW w:type="dxa" w:w="1608"/>
          </w:tcPr>
          <w:p>
            <w:r>
              <w:t>M18</w:t>
            </w:r>
          </w:p>
        </w:tc>
        <w:tc>
          <w:tcPr>
            <w:tcW w:type="dxa" w:w="1608"/>
          </w:tcPr>
          <w:p>
            <w:r>
              <w:t>V3</w:t>
            </w:r>
          </w:p>
        </w:tc>
        <w:tc>
          <w:tcPr>
            <w:tcW w:type="dxa" w:w="1608"/>
          </w:tcPr>
          <w:p>
            <w:r>
              <w:t>Morocco 2012-2026</w:t>
            </w:r>
          </w:p>
        </w:tc>
        <w:tc>
          <w:tcPr>
            <w:tcW w:type="dxa" w:w="1608"/>
          </w:tcPr>
          <w:p>
            <w:r>
              <w:t>open-free form</w:t>
            </w:r>
          </w:p>
        </w:tc>
        <w:tc>
          <w:tcPr>
            <w:tcW w:type="dxa" w:w="1608"/>
          </w:tcPr>
          <w:p>
            <w:r>
              <w:t>holds</w:t>
            </w:r>
          </w:p>
        </w:tc>
        <w:tc>
          <w:tcPr>
            <w:tcW w:type="dxa" w:w="1608"/>
          </w:tcPr>
          <w:p>
            <w:r>
              <w:t>no estimator beats the open-free form at 5 or 21 sessions</w:t>
            </w:r>
          </w:p>
        </w:tc>
      </w:tr>
      <w:tr>
        <w:tc>
          <w:tcPr>
            <w:tcW w:type="dxa" w:w="1608"/>
          </w:tcPr>
          <w:p>
            <w:r>
              <w:t>M18</w:t>
            </w:r>
          </w:p>
        </w:tc>
        <w:tc>
          <w:tcPr>
            <w:tcW w:type="dxa" w:w="1608"/>
          </w:tcPr>
          <w:p>
            <w:r>
              <w:t>O</w:t>
            </w:r>
          </w:p>
        </w:tc>
        <w:tc>
          <w:tcPr>
            <w:tcW w:type="dxa" w:w="1608"/>
          </w:tcPr>
          <w:p>
            <w:r>
              <w:t>Morocco 2012-2026</w:t>
            </w:r>
          </w:p>
        </w:tc>
        <w:tc>
          <w:tcPr>
            <w:tcW w:type="dxa" w:w="1608"/>
          </w:tcPr>
          <w:p>
            <w:r>
              <w:t>open-free form</w:t>
            </w:r>
          </w:p>
        </w:tc>
        <w:tc>
          <w:tcPr>
            <w:tcW w:type="dxa" w:w="1608"/>
          </w:tcPr>
          <w:p>
            <w:r>
              <w:t>holds</w:t>
            </w:r>
          </w:p>
        </w:tc>
        <w:tc>
          <w:tcPr>
            <w:tcW w:type="dxa" w:w="1608"/>
          </w:tcPr>
          <w:p>
            <w:r>
              <w:t>V1 holds; V3 holds</w:t>
            </w:r>
          </w:p>
        </w:tc>
      </w:tr>
    </w:tbl>
    <w:p/>
    <w:p>
      <w:pPr/>
      <w:r>
        <w:t>Table 37. Post hoc robustness of the plans' comparisons (script 44; not pre-registered, run after every verdict was known): the frozen Newey-West t of each loss difference (negative favours the first estimator) against longer lags, non-overlapping forecast origins, an MSE loss on the same forecasts and each half of the test span, with the Holm-adjusted one-sided p of each plan rule across the three plans (a frozen 'beats' is p &lt; 0.025).</w:t>
      </w:r>
    </w:p>
    <w:tbl>
      <w:tblPr>
        <w:tblStyle w:val="TableGrid"/>
        <w:tblW w:type="auto" w:w="0"/>
        <w:tblLook w:firstColumn="1" w:firstRow="1" w:lastColumn="0" w:lastRow="0" w:noHBand="0" w:noVBand="1" w:val="04A0"/>
      </w:tblPr>
      <w:tblGrid>
        <w:gridCol w:w="804"/>
        <w:gridCol w:w="804"/>
        <w:gridCol w:w="804"/>
        <w:gridCol w:w="804"/>
        <w:gridCol w:w="804"/>
        <w:gridCol w:w="804"/>
        <w:gridCol w:w="804"/>
        <w:gridCol w:w="804"/>
        <w:gridCol w:w="804"/>
        <w:gridCol w:w="804"/>
        <w:gridCol w:w="804"/>
        <w:gridCol w:w="804"/>
      </w:tblGrid>
      <w:tr>
        <w:trPr>
          <w:tblHeader/>
        </w:trPr>
        <w:tc>
          <w:tcPr>
            <w:tcW w:type="dxa" w:w="804"/>
          </w:tcPr>
          <w:p>
            <w:r>
              <w:t>Plan</w:t>
            </w:r>
          </w:p>
        </w:tc>
        <w:tc>
          <w:tcPr>
            <w:tcW w:type="dxa" w:w="804"/>
          </w:tcPr>
          <w:p>
            <w:r>
              <w:t>Rule</w:t>
            </w:r>
          </w:p>
        </w:tc>
        <w:tc>
          <w:tcPr>
            <w:tcW w:type="dxa" w:w="804"/>
          </w:tcPr>
          <w:p>
            <w:r>
              <w:t>Test sample</w:t>
            </w:r>
          </w:p>
        </w:tc>
        <w:tc>
          <w:tcPr>
            <w:tcW w:type="dxa" w:w="804"/>
          </w:tcPr>
          <w:p>
            <w:r>
              <w:t>Comparison</w:t>
            </w:r>
          </w:p>
        </w:tc>
        <w:tc>
          <w:tcPr>
            <w:tcW w:type="dxa" w:w="804"/>
          </w:tcPr>
          <w:p>
            <w:r>
              <w:t>Frozen t (lags = horizon)</w:t>
            </w:r>
          </w:p>
        </w:tc>
        <w:tc>
          <w:tcPr>
            <w:tcW w:type="dxa" w:w="804"/>
          </w:tcPr>
          <w:p>
            <w:r>
              <w:t>Lags 2 x horizon</w:t>
            </w:r>
          </w:p>
        </w:tc>
        <w:tc>
          <w:tcPr>
            <w:tcW w:type="dxa" w:w="804"/>
          </w:tcPr>
          <w:p>
            <w:r>
              <w:t>Lags 4 x horizon</w:t>
            </w:r>
          </w:p>
        </w:tc>
        <w:tc>
          <w:tcPr>
            <w:tcW w:type="dxa" w:w="804"/>
          </w:tcPr>
          <w:p>
            <w:r>
              <w:t>Non-overlapping origins</w:t>
            </w:r>
          </w:p>
        </w:tc>
        <w:tc>
          <w:tcPr>
            <w:tcW w:type="dxa" w:w="804"/>
          </w:tcPr>
          <w:p>
            <w:r>
              <w:t>MSE loss</w:t>
            </w:r>
          </w:p>
        </w:tc>
        <w:tc>
          <w:tcPr>
            <w:tcW w:type="dxa" w:w="804"/>
          </w:tcPr>
          <w:p>
            <w:r>
              <w:t>First half</w:t>
            </w:r>
          </w:p>
        </w:tc>
        <w:tc>
          <w:tcPr>
            <w:tcW w:type="dxa" w:w="804"/>
          </w:tcPr>
          <w:p>
            <w:r>
              <w:t>Second half</w:t>
            </w:r>
          </w:p>
        </w:tc>
        <w:tc>
          <w:tcPr>
            <w:tcW w:type="dxa" w:w="804"/>
          </w:tcPr>
          <w:p>
            <w:r>
              <w:t>Holm p, all plans (one-sided)</w:t>
            </w:r>
          </w:p>
        </w:tc>
      </w:tr>
      <w:tr>
        <w:tc>
          <w:tcPr>
            <w:tcW w:type="dxa" w:w="804"/>
          </w:tcPr>
          <w:p>
            <w:r>
              <w:t>M16</w:t>
            </w:r>
          </w:p>
        </w:tc>
        <w:tc>
          <w:tcPr>
            <w:tcW w:type="dxa" w:w="804"/>
          </w:tcPr>
          <w:p>
            <w:r>
              <w:t>H1</w:t>
            </w:r>
          </w:p>
        </w:tc>
        <w:tc>
          <w:tcPr>
            <w:tcW w:type="dxa" w:w="804"/>
          </w:tcPr>
          <w:p>
            <w:r>
              <w:t>NEPSE</w:t>
            </w:r>
          </w:p>
        </w:tc>
        <w:tc>
          <w:tcPr>
            <w:tcW w:type="dxa" w:w="804"/>
          </w:tcPr>
          <w:p>
            <w:r>
              <w:t>Anam vs close-to-close, 5 sessions</w:t>
            </w:r>
          </w:p>
        </w:tc>
        <w:tc>
          <w:tcPr>
            <w:tcW w:type="dxa" w:w="804"/>
          </w:tcPr>
          <w:p>
            <w:r>
              <w:t>+1.19</w:t>
            </w:r>
          </w:p>
        </w:tc>
        <w:tc>
          <w:tcPr>
            <w:tcW w:type="dxa" w:w="804"/>
          </w:tcPr>
          <w:p>
            <w:r>
              <w:t>+1.00</w:t>
            </w:r>
          </w:p>
        </w:tc>
        <w:tc>
          <w:tcPr>
            <w:tcW w:type="dxa" w:w="804"/>
          </w:tcPr>
          <w:p>
            <w:r>
              <w:t>+0.86</w:t>
            </w:r>
          </w:p>
        </w:tc>
        <w:tc>
          <w:tcPr>
            <w:tcW w:type="dxa" w:w="804"/>
          </w:tcPr>
          <w:p>
            <w:r>
              <w:t>+1.16</w:t>
            </w:r>
          </w:p>
        </w:tc>
        <w:tc>
          <w:tcPr>
            <w:tcW w:type="dxa" w:w="804"/>
          </w:tcPr>
          <w:p>
            <w:r>
              <w:t>-3.19</w:t>
            </w:r>
          </w:p>
        </w:tc>
        <w:tc>
          <w:tcPr>
            <w:tcW w:type="dxa" w:w="804"/>
          </w:tcPr>
          <w:p>
            <w:r>
              <w:t>-1.06</w:t>
            </w:r>
          </w:p>
        </w:tc>
        <w:tc>
          <w:tcPr>
            <w:tcW w:type="dxa" w:w="804"/>
          </w:tcPr>
          <w:p>
            <w:r>
              <w:t>+2.69</w:t>
            </w:r>
          </w:p>
        </w:tc>
        <w:tc>
          <w:tcPr>
            <w:tcW w:type="dxa" w:w="804"/>
          </w:tcPr>
          <w:p>
            <w:r>
              <w:t>1.000</w:t>
            </w:r>
          </w:p>
        </w:tc>
      </w:tr>
      <w:tr>
        <w:tc>
          <w:tcPr>
            <w:tcW w:type="dxa" w:w="804"/>
          </w:tcPr>
          <w:p>
            <w:r>
              <w:t>M16</w:t>
            </w:r>
          </w:p>
        </w:tc>
        <w:tc>
          <w:tcPr>
            <w:tcW w:type="dxa" w:w="804"/>
          </w:tcPr>
          <w:p>
            <w:r>
              <w:t>H1</w:t>
            </w:r>
          </w:p>
        </w:tc>
        <w:tc>
          <w:tcPr>
            <w:tcW w:type="dxa" w:w="804"/>
          </w:tcPr>
          <w:p>
            <w:r>
              <w:t>NEPSE</w:t>
            </w:r>
          </w:p>
        </w:tc>
        <w:tc>
          <w:tcPr>
            <w:tcW w:type="dxa" w:w="804"/>
          </w:tcPr>
          <w:p>
            <w:r>
              <w:t>Anam vs Parkinson, 5 sessions</w:t>
            </w:r>
          </w:p>
        </w:tc>
        <w:tc>
          <w:tcPr>
            <w:tcW w:type="dxa" w:w="804"/>
          </w:tcPr>
          <w:p>
            <w:r>
              <w:t>-3.97</w:t>
            </w:r>
          </w:p>
        </w:tc>
        <w:tc>
          <w:tcPr>
            <w:tcW w:type="dxa" w:w="804"/>
          </w:tcPr>
          <w:p>
            <w:r>
              <w:t>-3.23</w:t>
            </w:r>
          </w:p>
        </w:tc>
        <w:tc>
          <w:tcPr>
            <w:tcW w:type="dxa" w:w="804"/>
          </w:tcPr>
          <w:p>
            <w:r>
              <w:t>-2.73</w:t>
            </w:r>
          </w:p>
        </w:tc>
        <w:tc>
          <w:tcPr>
            <w:tcW w:type="dxa" w:w="804"/>
          </w:tcPr>
          <w:p>
            <w:r>
              <w:t>-3.21</w:t>
            </w:r>
          </w:p>
        </w:tc>
        <w:tc>
          <w:tcPr>
            <w:tcW w:type="dxa" w:w="804"/>
          </w:tcPr>
          <w:p>
            <w:r>
              <w:t>-2.52</w:t>
            </w:r>
          </w:p>
        </w:tc>
        <w:tc>
          <w:tcPr>
            <w:tcW w:type="dxa" w:w="804"/>
          </w:tcPr>
          <w:p>
            <w:r>
              <w:t>-0.91</w:t>
            </w:r>
          </w:p>
        </w:tc>
        <w:tc>
          <w:tcPr>
            <w:tcW w:type="dxa" w:w="804"/>
          </w:tcPr>
          <w:p>
            <w:r>
              <w:t>-5.76</w:t>
            </w:r>
          </w:p>
        </w:tc>
        <w:tc>
          <w:tcPr>
            <w:tcW w:type="dxa" w:w="804"/>
          </w:tcPr>
          <w:p>
            <w:r>
              <w:t>0.000</w:t>
            </w:r>
          </w:p>
        </w:tc>
      </w:tr>
      <w:tr>
        <w:tc>
          <w:tcPr>
            <w:tcW w:type="dxa" w:w="804"/>
          </w:tcPr>
          <w:p>
            <w:r>
              <w:t>M16</w:t>
            </w:r>
          </w:p>
        </w:tc>
        <w:tc>
          <w:tcPr>
            <w:tcW w:type="dxa" w:w="804"/>
          </w:tcPr>
          <w:p>
            <w:r>
              <w:t>H4</w:t>
            </w:r>
          </w:p>
        </w:tc>
        <w:tc>
          <w:tcPr>
            <w:tcW w:type="dxa" w:w="804"/>
          </w:tcPr>
          <w:p>
            <w:r>
              <w:t>NIFTY 50</w:t>
            </w:r>
          </w:p>
        </w:tc>
        <w:tc>
          <w:tcPr>
            <w:tcW w:type="dxa" w:w="804"/>
          </w:tcPr>
          <w:p>
            <w:r>
              <w:t>Anam vs close-to-close, 5 sessions</w:t>
            </w:r>
          </w:p>
        </w:tc>
        <w:tc>
          <w:tcPr>
            <w:tcW w:type="dxa" w:w="804"/>
          </w:tcPr>
          <w:p>
            <w:r>
              <w:t>-3.07</w:t>
            </w:r>
          </w:p>
        </w:tc>
        <w:tc>
          <w:tcPr>
            <w:tcW w:type="dxa" w:w="804"/>
          </w:tcPr>
          <w:p>
            <w:r>
              <w:t>-2.91</w:t>
            </w:r>
          </w:p>
        </w:tc>
        <w:tc>
          <w:tcPr>
            <w:tcW w:type="dxa" w:w="804"/>
          </w:tcPr>
          <w:p>
            <w:r>
              <w:t>-2.80</w:t>
            </w:r>
          </w:p>
        </w:tc>
        <w:tc>
          <w:tcPr>
            <w:tcW w:type="dxa" w:w="804"/>
          </w:tcPr>
          <w:p>
            <w:r>
              <w:t>-1.90</w:t>
            </w:r>
          </w:p>
        </w:tc>
        <w:tc>
          <w:tcPr>
            <w:tcW w:type="dxa" w:w="804"/>
          </w:tcPr>
          <w:p>
            <w:r>
              <w:t>-1.38</w:t>
            </w:r>
          </w:p>
        </w:tc>
        <w:tc>
          <w:tcPr>
            <w:tcW w:type="dxa" w:w="804"/>
          </w:tcPr>
          <w:p>
            <w:r>
              <w:t>-2.61</w:t>
            </w:r>
          </w:p>
        </w:tc>
        <w:tc>
          <w:tcPr>
            <w:tcW w:type="dxa" w:w="804"/>
          </w:tcPr>
          <w:p>
            <w:r>
              <w:t>-1.88</w:t>
            </w:r>
          </w:p>
        </w:tc>
        <w:tc>
          <w:tcPr>
            <w:tcW w:type="dxa" w:w="804"/>
          </w:tcPr>
          <w:p>
            <w:r>
              <w:t>0.005</w:t>
            </w:r>
          </w:p>
        </w:tc>
      </w:tr>
      <w:tr>
        <w:tc>
          <w:tcPr>
            <w:tcW w:type="dxa" w:w="804"/>
          </w:tcPr>
          <w:p>
            <w:r>
              <w:t>M16</w:t>
            </w:r>
          </w:p>
        </w:tc>
        <w:tc>
          <w:tcPr>
            <w:tcW w:type="dxa" w:w="804"/>
          </w:tcPr>
          <w:p>
            <w:r>
              <w:t>H5</w:t>
            </w:r>
          </w:p>
        </w:tc>
        <w:tc>
          <w:tcPr>
            <w:tcW w:type="dxa" w:w="804"/>
          </w:tcPr>
          <w:p>
            <w:r>
              <w:t>S&amp;P 500</w:t>
            </w:r>
          </w:p>
        </w:tc>
        <w:tc>
          <w:tcPr>
            <w:tcW w:type="dxa" w:w="804"/>
          </w:tcPr>
          <w:p>
            <w:r>
              <w:t>Anam vs close-to-close, 5 sessions</w:t>
            </w:r>
          </w:p>
        </w:tc>
        <w:tc>
          <w:tcPr>
            <w:tcW w:type="dxa" w:w="804"/>
          </w:tcPr>
          <w:p>
            <w:r>
              <w:t>-6.39</w:t>
            </w:r>
          </w:p>
        </w:tc>
        <w:tc>
          <w:tcPr>
            <w:tcW w:type="dxa" w:w="804"/>
          </w:tcPr>
          <w:p>
            <w:r>
              <w:t>-6.08</w:t>
            </w:r>
          </w:p>
        </w:tc>
        <w:tc>
          <w:tcPr>
            <w:tcW w:type="dxa" w:w="804"/>
          </w:tcPr>
          <w:p>
            <w:r>
              <w:t>-5.80</w:t>
            </w:r>
          </w:p>
        </w:tc>
        <w:tc>
          <w:tcPr>
            <w:tcW w:type="dxa" w:w="804"/>
          </w:tcPr>
          <w:p>
            <w:r>
              <w:t>-3.24</w:t>
            </w:r>
          </w:p>
        </w:tc>
        <w:tc>
          <w:tcPr>
            <w:tcW w:type="dxa" w:w="804"/>
          </w:tcPr>
          <w:p>
            <w:r>
              <w:t>-5.00</w:t>
            </w:r>
          </w:p>
        </w:tc>
        <w:tc>
          <w:tcPr>
            <w:tcW w:type="dxa" w:w="804"/>
          </w:tcPr>
          <w:p>
            <w:r>
              <w:t>-6.15</w:t>
            </w:r>
          </w:p>
        </w:tc>
        <w:tc>
          <w:tcPr>
            <w:tcW w:type="dxa" w:w="804"/>
          </w:tcPr>
          <w:p>
            <w:r>
              <w:t>-2.98</w:t>
            </w:r>
          </w:p>
        </w:tc>
        <w:tc>
          <w:tcPr>
            <w:tcW w:type="dxa" w:w="804"/>
          </w:tcPr>
          <w:p>
            <w:r>
              <w:t>0.000</w:t>
            </w:r>
          </w:p>
        </w:tc>
      </w:tr>
      <w:tr>
        <w:tc>
          <w:tcPr>
            <w:tcW w:type="dxa" w:w="804"/>
          </w:tcPr>
          <w:p>
            <w:r>
              <w:t>M17</w:t>
            </w:r>
          </w:p>
        </w:tc>
        <w:tc>
          <w:tcPr>
            <w:tcW w:type="dxa" w:w="804"/>
          </w:tcPr>
          <w:p>
            <w:r>
              <w:t>F1</w:t>
            </w:r>
          </w:p>
        </w:tc>
        <w:tc>
          <w:tcPr>
            <w:tcW w:type="dxa" w:w="804"/>
          </w:tcPr>
          <w:p>
            <w:r>
              <w:t>Dhaka 2023-2026</w:t>
            </w:r>
          </w:p>
        </w:tc>
        <w:tc>
          <w:tcPr>
            <w:tcW w:type="dxa" w:w="804"/>
          </w:tcPr>
          <w:p>
            <w:r>
              <w:t>Anam vs close-to-close, 5 sessions</w:t>
            </w:r>
          </w:p>
        </w:tc>
        <w:tc>
          <w:tcPr>
            <w:tcW w:type="dxa" w:w="804"/>
          </w:tcPr>
          <w:p>
            <w:r>
              <w:t>-0.90</w:t>
            </w:r>
          </w:p>
        </w:tc>
        <w:tc>
          <w:tcPr>
            <w:tcW w:type="dxa" w:w="804"/>
          </w:tcPr>
          <w:p>
            <w:r>
              <w:t>-0.88</w:t>
            </w:r>
          </w:p>
        </w:tc>
        <w:tc>
          <w:tcPr>
            <w:tcW w:type="dxa" w:w="804"/>
          </w:tcPr>
          <w:p>
            <w:r>
              <w:t>-0.87</w:t>
            </w:r>
          </w:p>
        </w:tc>
        <w:tc>
          <w:tcPr>
            <w:tcW w:type="dxa" w:w="804"/>
          </w:tcPr>
          <w:p>
            <w:r>
              <w:t>-0.55</w:t>
            </w:r>
          </w:p>
        </w:tc>
        <w:tc>
          <w:tcPr>
            <w:tcW w:type="dxa" w:w="804"/>
          </w:tcPr>
          <w:p>
            <w:r>
              <w:t>+2.76</w:t>
            </w:r>
          </w:p>
        </w:tc>
        <w:tc>
          <w:tcPr>
            <w:tcW w:type="dxa" w:w="804"/>
          </w:tcPr>
          <w:p>
            <w:r>
              <w:t>-1.85</w:t>
            </w:r>
          </w:p>
        </w:tc>
        <w:tc>
          <w:tcPr>
            <w:tcW w:type="dxa" w:w="804"/>
          </w:tcPr>
          <w:p>
            <w:r>
              <w:t>+0.17</w:t>
            </w:r>
          </w:p>
        </w:tc>
        <w:tc>
          <w:tcPr>
            <w:tcW w:type="dxa" w:w="804"/>
          </w:tcPr>
          <w:p>
            <w:r>
              <w:t>0.551</w:t>
            </w:r>
          </w:p>
        </w:tc>
      </w:tr>
      <w:tr>
        <w:tc>
          <w:tcPr>
            <w:tcW w:type="dxa" w:w="804"/>
          </w:tcPr>
          <w:p>
            <w:r>
              <w:t>M17</w:t>
            </w:r>
          </w:p>
        </w:tc>
        <w:tc>
          <w:tcPr>
            <w:tcW w:type="dxa" w:w="804"/>
          </w:tcPr>
          <w:p>
            <w:r>
              <w:t>F2</w:t>
            </w:r>
          </w:p>
        </w:tc>
        <w:tc>
          <w:tcPr>
            <w:tcW w:type="dxa" w:w="804"/>
          </w:tcPr>
          <w:p>
            <w:r>
              <w:t>Dhaka 2023-2026</w:t>
            </w:r>
          </w:p>
        </w:tc>
        <w:tc>
          <w:tcPr>
            <w:tcW w:type="dxa" w:w="804"/>
          </w:tcPr>
          <w:p>
            <w:r>
              <w:t>Anam vs Parkinson, 5 sessions</w:t>
            </w:r>
          </w:p>
        </w:tc>
        <w:tc>
          <w:tcPr>
            <w:tcW w:type="dxa" w:w="804"/>
          </w:tcPr>
          <w:p>
            <w:r>
              <w:t>-5.56</w:t>
            </w:r>
          </w:p>
        </w:tc>
        <w:tc>
          <w:tcPr>
            <w:tcW w:type="dxa" w:w="804"/>
          </w:tcPr>
          <w:p>
            <w:r>
              <w:t>-4.85</w:t>
            </w:r>
          </w:p>
        </w:tc>
        <w:tc>
          <w:tcPr>
            <w:tcW w:type="dxa" w:w="804"/>
          </w:tcPr>
          <w:p>
            <w:r>
              <w:t>-4.27</w:t>
            </w:r>
          </w:p>
        </w:tc>
        <w:tc>
          <w:tcPr>
            <w:tcW w:type="dxa" w:w="804"/>
          </w:tcPr>
          <w:p>
            <w:r>
              <w:t>-4.00</w:t>
            </w:r>
          </w:p>
        </w:tc>
        <w:tc>
          <w:tcPr>
            <w:tcW w:type="dxa" w:w="804"/>
          </w:tcPr>
          <w:p>
            <w:r>
              <w:t>-7.85</w:t>
            </w:r>
          </w:p>
        </w:tc>
        <w:tc>
          <w:tcPr>
            <w:tcW w:type="dxa" w:w="804"/>
          </w:tcPr>
          <w:p>
            <w:r>
              <w:t>-3.23</w:t>
            </w:r>
          </w:p>
        </w:tc>
        <w:tc>
          <w:tcPr>
            <w:tcW w:type="dxa" w:w="804"/>
          </w:tcPr>
          <w:p>
            <w:r>
              <w:t>-4.87</w:t>
            </w:r>
          </w:p>
        </w:tc>
        <w:tc>
          <w:tcPr>
            <w:tcW w:type="dxa" w:w="804"/>
          </w:tcPr>
          <w:p>
            <w:r>
              <w:t>0.000</w:t>
            </w:r>
          </w:p>
        </w:tc>
      </w:tr>
      <w:tr>
        <w:tc>
          <w:tcPr>
            <w:tcW w:type="dxa" w:w="804"/>
          </w:tcPr>
          <w:p>
            <w:r>
              <w:t>M17</w:t>
            </w:r>
          </w:p>
        </w:tc>
        <w:tc>
          <w:tcPr>
            <w:tcW w:type="dxa" w:w="804"/>
          </w:tcPr>
          <w:p>
            <w:r>
              <w:t>F1</w:t>
            </w:r>
          </w:p>
        </w:tc>
        <w:tc>
          <w:tcPr>
            <w:tcW w:type="dxa" w:w="804"/>
          </w:tcPr>
          <w:p>
            <w:r>
              <w:t>Vietnam 2007-2020</w:t>
            </w:r>
          </w:p>
        </w:tc>
        <w:tc>
          <w:tcPr>
            <w:tcW w:type="dxa" w:w="804"/>
          </w:tcPr>
          <w:p>
            <w:r>
              <w:t>Anam vs close-to-close, 5 sessions</w:t>
            </w:r>
          </w:p>
        </w:tc>
        <w:tc>
          <w:tcPr>
            <w:tcW w:type="dxa" w:w="804"/>
          </w:tcPr>
          <w:p>
            <w:r>
              <w:t>+0.20</w:t>
            </w:r>
          </w:p>
        </w:tc>
        <w:tc>
          <w:tcPr>
            <w:tcW w:type="dxa" w:w="804"/>
          </w:tcPr>
          <w:p>
            <w:r>
              <w:t>+0.18</w:t>
            </w:r>
          </w:p>
        </w:tc>
        <w:tc>
          <w:tcPr>
            <w:tcW w:type="dxa" w:w="804"/>
          </w:tcPr>
          <w:p>
            <w:r>
              <w:t>+0.16</w:t>
            </w:r>
          </w:p>
        </w:tc>
        <w:tc>
          <w:tcPr>
            <w:tcW w:type="dxa" w:w="804"/>
          </w:tcPr>
          <w:p>
            <w:r>
              <w:t>+0.01</w:t>
            </w:r>
          </w:p>
        </w:tc>
        <w:tc>
          <w:tcPr>
            <w:tcW w:type="dxa" w:w="804"/>
          </w:tcPr>
          <w:p>
            <w:r>
              <w:t>+14.48</w:t>
            </w:r>
          </w:p>
        </w:tc>
        <w:tc>
          <w:tcPr>
            <w:tcW w:type="dxa" w:w="804"/>
          </w:tcPr>
          <w:p>
            <w:r>
              <w:t>+1.46</w:t>
            </w:r>
          </w:p>
        </w:tc>
        <w:tc>
          <w:tcPr>
            <w:tcW w:type="dxa" w:w="804"/>
          </w:tcPr>
          <w:p>
            <w:r>
              <w:t>-0.59</w:t>
            </w:r>
          </w:p>
        </w:tc>
        <w:tc>
          <w:tcPr>
            <w:tcW w:type="dxa" w:w="804"/>
          </w:tcPr>
          <w:p>
            <w:r>
              <w:t>1.000</w:t>
            </w:r>
          </w:p>
        </w:tc>
      </w:tr>
      <w:tr>
        <w:tc>
          <w:tcPr>
            <w:tcW w:type="dxa" w:w="804"/>
          </w:tcPr>
          <w:p>
            <w:r>
              <w:t>M17</w:t>
            </w:r>
          </w:p>
        </w:tc>
        <w:tc>
          <w:tcPr>
            <w:tcW w:type="dxa" w:w="804"/>
          </w:tcPr>
          <w:p>
            <w:r>
              <w:t>F2</w:t>
            </w:r>
          </w:p>
        </w:tc>
        <w:tc>
          <w:tcPr>
            <w:tcW w:type="dxa" w:w="804"/>
          </w:tcPr>
          <w:p>
            <w:r>
              <w:t>Vietnam 2007-2020</w:t>
            </w:r>
          </w:p>
        </w:tc>
        <w:tc>
          <w:tcPr>
            <w:tcW w:type="dxa" w:w="804"/>
          </w:tcPr>
          <w:p>
            <w:r>
              <w:t>Anam vs Parkinson, 5 sessions</w:t>
            </w:r>
          </w:p>
        </w:tc>
        <w:tc>
          <w:tcPr>
            <w:tcW w:type="dxa" w:w="804"/>
          </w:tcPr>
          <w:p>
            <w:r>
              <w:t>-22.42</w:t>
            </w:r>
          </w:p>
        </w:tc>
        <w:tc>
          <w:tcPr>
            <w:tcW w:type="dxa" w:w="804"/>
          </w:tcPr>
          <w:p>
            <w:r>
              <w:t>-19.63</w:t>
            </w:r>
          </w:p>
        </w:tc>
        <w:tc>
          <w:tcPr>
            <w:tcW w:type="dxa" w:w="804"/>
          </w:tcPr>
          <w:p>
            <w:r>
              <w:t>-16.45</w:t>
            </w:r>
          </w:p>
        </w:tc>
        <w:tc>
          <w:tcPr>
            <w:tcW w:type="dxa" w:w="804"/>
          </w:tcPr>
          <w:p>
            <w:r>
              <w:t>-14.06</w:t>
            </w:r>
          </w:p>
        </w:tc>
        <w:tc>
          <w:tcPr>
            <w:tcW w:type="dxa" w:w="804"/>
          </w:tcPr>
          <w:p>
            <w:r>
              <w:t>-42.26</w:t>
            </w:r>
          </w:p>
        </w:tc>
        <w:tc>
          <w:tcPr>
            <w:tcW w:type="dxa" w:w="804"/>
          </w:tcPr>
          <w:p>
            <w:r>
              <w:t>-18.43</w:t>
            </w:r>
          </w:p>
        </w:tc>
        <w:tc>
          <w:tcPr>
            <w:tcW w:type="dxa" w:w="804"/>
          </w:tcPr>
          <w:p>
            <w:r>
              <w:t>-14.01</w:t>
            </w:r>
          </w:p>
        </w:tc>
        <w:tc>
          <w:tcPr>
            <w:tcW w:type="dxa" w:w="804"/>
          </w:tcPr>
          <w:p>
            <w:r>
              <w:t>0.000</w:t>
            </w:r>
          </w:p>
        </w:tc>
      </w:tr>
      <w:tr>
        <w:tc>
          <w:tcPr>
            <w:tcW w:type="dxa" w:w="804"/>
          </w:tcPr>
          <w:p>
            <w:r>
              <w:t>M17</w:t>
            </w:r>
          </w:p>
        </w:tc>
        <w:tc>
          <w:tcPr>
            <w:tcW w:type="dxa" w:w="804"/>
          </w:tcPr>
          <w:p>
            <w:r>
              <w:t>F1</w:t>
            </w:r>
          </w:p>
        </w:tc>
        <w:tc>
          <w:tcPr>
            <w:tcW w:type="dxa" w:w="804"/>
          </w:tcPr>
          <w:p>
            <w:r>
              <w:t>Dhaka 2009-2021 (dates repaired)</w:t>
            </w:r>
          </w:p>
        </w:tc>
        <w:tc>
          <w:tcPr>
            <w:tcW w:type="dxa" w:w="804"/>
          </w:tcPr>
          <w:p>
            <w:r>
              <w:t>Anam vs close-to-close, 5 sessions</w:t>
            </w:r>
          </w:p>
        </w:tc>
        <w:tc>
          <w:tcPr>
            <w:tcW w:type="dxa" w:w="804"/>
          </w:tcPr>
          <w:p>
            <w:r>
              <w:t>-6.17</w:t>
            </w:r>
          </w:p>
        </w:tc>
        <w:tc>
          <w:tcPr>
            <w:tcW w:type="dxa" w:w="804"/>
          </w:tcPr>
          <w:p>
            <w:r>
              <w:t>-5.42</w:t>
            </w:r>
          </w:p>
        </w:tc>
        <w:tc>
          <w:tcPr>
            <w:tcW w:type="dxa" w:w="804"/>
          </w:tcPr>
          <w:p>
            <w:r>
              <w:t>-4.77</w:t>
            </w:r>
          </w:p>
        </w:tc>
        <w:tc>
          <w:tcPr>
            <w:tcW w:type="dxa" w:w="804"/>
          </w:tcPr>
          <w:p>
            <w:r>
              <w:t>-4.43</w:t>
            </w:r>
          </w:p>
        </w:tc>
        <w:tc>
          <w:tcPr>
            <w:tcW w:type="dxa" w:w="804"/>
          </w:tcPr>
          <w:p>
            <w:r>
              <w:t>+0.87</w:t>
            </w:r>
          </w:p>
        </w:tc>
        <w:tc>
          <w:tcPr>
            <w:tcW w:type="dxa" w:w="804"/>
          </w:tcPr>
          <w:p>
            <w:r>
              <w:t>-3.74</w:t>
            </w:r>
          </w:p>
        </w:tc>
        <w:tc>
          <w:tcPr>
            <w:tcW w:type="dxa" w:w="804"/>
          </w:tcPr>
          <w:p>
            <w:r>
              <w:t>-4.97</w:t>
            </w:r>
          </w:p>
        </w:tc>
        <w:tc>
          <w:tcPr>
            <w:tcW w:type="dxa" w:w="804"/>
          </w:tcPr>
          <w:p>
            <w:r>
              <w:t>0.000</w:t>
            </w:r>
          </w:p>
        </w:tc>
      </w:tr>
      <w:tr>
        <w:tc>
          <w:tcPr>
            <w:tcW w:type="dxa" w:w="804"/>
          </w:tcPr>
          <w:p>
            <w:r>
              <w:t>M17</w:t>
            </w:r>
          </w:p>
        </w:tc>
        <w:tc>
          <w:tcPr>
            <w:tcW w:type="dxa" w:w="804"/>
          </w:tcPr>
          <w:p>
            <w:r>
              <w:t>F2</w:t>
            </w:r>
          </w:p>
        </w:tc>
        <w:tc>
          <w:tcPr>
            <w:tcW w:type="dxa" w:w="804"/>
          </w:tcPr>
          <w:p>
            <w:r>
              <w:t>Dhaka 2009-2021 (dates repaired)</w:t>
            </w:r>
          </w:p>
        </w:tc>
        <w:tc>
          <w:tcPr>
            <w:tcW w:type="dxa" w:w="804"/>
          </w:tcPr>
          <w:p>
            <w:r>
              <w:t>Anam vs Parkinson, 5 sessions</w:t>
            </w:r>
          </w:p>
        </w:tc>
        <w:tc>
          <w:tcPr>
            <w:tcW w:type="dxa" w:w="804"/>
          </w:tcPr>
          <w:p>
            <w:r>
              <w:t>-9.55</w:t>
            </w:r>
          </w:p>
        </w:tc>
        <w:tc>
          <w:tcPr>
            <w:tcW w:type="dxa" w:w="804"/>
          </w:tcPr>
          <w:p>
            <w:r>
              <w:t>-8.22</w:t>
            </w:r>
          </w:p>
        </w:tc>
        <w:tc>
          <w:tcPr>
            <w:tcW w:type="dxa" w:w="804"/>
          </w:tcPr>
          <w:p>
            <w:r>
              <w:t>-6.97</w:t>
            </w:r>
          </w:p>
        </w:tc>
        <w:tc>
          <w:tcPr>
            <w:tcW w:type="dxa" w:w="804"/>
          </w:tcPr>
          <w:p>
            <w:r>
              <w:t>-5.87</w:t>
            </w:r>
          </w:p>
        </w:tc>
        <w:tc>
          <w:tcPr>
            <w:tcW w:type="dxa" w:w="804"/>
          </w:tcPr>
          <w:p>
            <w:r>
              <w:t>-7.16</w:t>
            </w:r>
          </w:p>
        </w:tc>
        <w:tc>
          <w:tcPr>
            <w:tcW w:type="dxa" w:w="804"/>
          </w:tcPr>
          <w:p>
            <w:r>
              <w:t>-9.76</w:t>
            </w:r>
          </w:p>
        </w:tc>
        <w:tc>
          <w:tcPr>
            <w:tcW w:type="dxa" w:w="804"/>
          </w:tcPr>
          <w:p>
            <w:r>
              <w:t>-3.91</w:t>
            </w:r>
          </w:p>
        </w:tc>
        <w:tc>
          <w:tcPr>
            <w:tcW w:type="dxa" w:w="804"/>
          </w:tcPr>
          <w:p>
            <w:r>
              <w:t>0.000</w:t>
            </w:r>
          </w:p>
        </w:tc>
      </w:tr>
      <w:tr>
        <w:tc>
          <w:tcPr>
            <w:tcW w:type="dxa" w:w="804"/>
          </w:tcPr>
          <w:p>
            <w:r>
              <w:t>M18</w:t>
            </w:r>
          </w:p>
        </w:tc>
        <w:tc>
          <w:tcPr>
            <w:tcW w:type="dxa" w:w="804"/>
          </w:tcPr>
          <w:p>
            <w:r>
              <w:t>F1</w:t>
            </w:r>
          </w:p>
        </w:tc>
        <w:tc>
          <w:tcPr>
            <w:tcW w:type="dxa" w:w="804"/>
          </w:tcPr>
          <w:p>
            <w:r>
              <w:t>Morocco 2012-2026</w:t>
            </w:r>
          </w:p>
        </w:tc>
        <w:tc>
          <w:tcPr>
            <w:tcW w:type="dxa" w:w="804"/>
          </w:tcPr>
          <w:p>
            <w:r>
              <w:t>Anam vs close-to-close, 5 sessions</w:t>
            </w:r>
          </w:p>
        </w:tc>
        <w:tc>
          <w:tcPr>
            <w:tcW w:type="dxa" w:w="804"/>
          </w:tcPr>
          <w:p>
            <w:r>
              <w:t>-2.06</w:t>
            </w:r>
          </w:p>
        </w:tc>
        <w:tc>
          <w:tcPr>
            <w:tcW w:type="dxa" w:w="804"/>
          </w:tcPr>
          <w:p>
            <w:r>
              <w:t>-1.85</w:t>
            </w:r>
          </w:p>
        </w:tc>
        <w:tc>
          <w:tcPr>
            <w:tcW w:type="dxa" w:w="804"/>
          </w:tcPr>
          <w:p>
            <w:r>
              <w:t>-1.66</w:t>
            </w:r>
          </w:p>
        </w:tc>
        <w:tc>
          <w:tcPr>
            <w:tcW w:type="dxa" w:w="804"/>
          </w:tcPr>
          <w:p>
            <w:r>
              <w:t>-1.10</w:t>
            </w:r>
          </w:p>
        </w:tc>
        <w:tc>
          <w:tcPr>
            <w:tcW w:type="dxa" w:w="804"/>
          </w:tcPr>
          <w:p>
            <w:r>
              <w:t>+1.12</w:t>
            </w:r>
          </w:p>
        </w:tc>
        <w:tc>
          <w:tcPr>
            <w:tcW w:type="dxa" w:w="804"/>
          </w:tcPr>
          <w:p>
            <w:r>
              <w:t>-3.04</w:t>
            </w:r>
          </w:p>
        </w:tc>
        <w:tc>
          <w:tcPr>
            <w:tcW w:type="dxa" w:w="804"/>
          </w:tcPr>
          <w:p>
            <w:r>
              <w:t>-0.10</w:t>
            </w:r>
          </w:p>
        </w:tc>
        <w:tc>
          <w:tcPr>
            <w:tcW w:type="dxa" w:w="804"/>
          </w:tcPr>
          <w:p>
            <w:r>
              <w:t>0.079</w:t>
            </w:r>
          </w:p>
        </w:tc>
      </w:tr>
      <w:tr>
        <w:tc>
          <w:tcPr>
            <w:tcW w:type="dxa" w:w="804"/>
          </w:tcPr>
          <w:p>
            <w:r>
              <w:t>M18</w:t>
            </w:r>
          </w:p>
        </w:tc>
        <w:tc>
          <w:tcPr>
            <w:tcW w:type="dxa" w:w="804"/>
          </w:tcPr>
          <w:p>
            <w:r>
              <w:t>F2</w:t>
            </w:r>
          </w:p>
        </w:tc>
        <w:tc>
          <w:tcPr>
            <w:tcW w:type="dxa" w:w="804"/>
          </w:tcPr>
          <w:p>
            <w:r>
              <w:t>Morocco 2012-2026</w:t>
            </w:r>
          </w:p>
        </w:tc>
        <w:tc>
          <w:tcPr>
            <w:tcW w:type="dxa" w:w="804"/>
          </w:tcPr>
          <w:p>
            <w:r>
              <w:t>Anam vs Parkinson, 5 sessions</w:t>
            </w:r>
          </w:p>
        </w:tc>
        <w:tc>
          <w:tcPr>
            <w:tcW w:type="dxa" w:w="804"/>
          </w:tcPr>
          <w:p>
            <w:r>
              <w:t>-11.01</w:t>
            </w:r>
          </w:p>
        </w:tc>
        <w:tc>
          <w:tcPr>
            <w:tcW w:type="dxa" w:w="804"/>
          </w:tcPr>
          <w:p>
            <w:r>
              <w:t>-9.72</w:t>
            </w:r>
          </w:p>
        </w:tc>
        <w:tc>
          <w:tcPr>
            <w:tcW w:type="dxa" w:w="804"/>
          </w:tcPr>
          <w:p>
            <w:r>
              <w:t>-8.83</w:t>
            </w:r>
          </w:p>
        </w:tc>
        <w:tc>
          <w:tcPr>
            <w:tcW w:type="dxa" w:w="804"/>
          </w:tcPr>
          <w:p>
            <w:r>
              <w:t>-7.46</w:t>
            </w:r>
          </w:p>
        </w:tc>
        <w:tc>
          <w:tcPr>
            <w:tcW w:type="dxa" w:w="804"/>
          </w:tcPr>
          <w:p>
            <w:r>
              <w:t>-9.01</w:t>
            </w:r>
          </w:p>
        </w:tc>
        <w:tc>
          <w:tcPr>
            <w:tcW w:type="dxa" w:w="804"/>
          </w:tcPr>
          <w:p>
            <w:r>
              <w:t>-9.33</w:t>
            </w:r>
          </w:p>
        </w:tc>
        <w:tc>
          <w:tcPr>
            <w:tcW w:type="dxa" w:w="804"/>
          </w:tcPr>
          <w:p>
            <w:r>
              <w:t>-7.27</w:t>
            </w:r>
          </w:p>
        </w:tc>
        <w:tc>
          <w:tcPr>
            <w:tcW w:type="dxa" w:w="804"/>
          </w:tcPr>
          <w:p>
            <w:r>
              <w:t>0.000</w:t>
            </w:r>
          </w:p>
        </w:tc>
      </w:tr>
      <w:tr>
        <w:tc>
          <w:tcPr>
            <w:tcW w:type="dxa" w:w="804"/>
          </w:tcPr>
          <w:p>
            <w:r>
              <w:t>M18</w:t>
            </w:r>
          </w:p>
        </w:tc>
        <w:tc>
          <w:tcPr>
            <w:tcW w:type="dxa" w:w="804"/>
          </w:tcPr>
          <w:p>
            <w:r>
              <w:t>V1</w:t>
            </w:r>
          </w:p>
        </w:tc>
        <w:tc>
          <w:tcPr>
            <w:tcW w:type="dxa" w:w="804"/>
          </w:tcPr>
          <w:p>
            <w:r>
              <w:t>Morocco 2012-2026</w:t>
            </w:r>
          </w:p>
        </w:tc>
        <w:tc>
          <w:tcPr>
            <w:tcW w:type="dxa" w:w="804"/>
          </w:tcPr>
          <w:p>
            <w:r>
              <w:t>open-free form vs close-to-close, 5 sessions</w:t>
            </w:r>
          </w:p>
        </w:tc>
        <w:tc>
          <w:tcPr>
            <w:tcW w:type="dxa" w:w="804"/>
          </w:tcPr>
          <w:p>
            <w:r>
              <w:t>-4.53</w:t>
            </w:r>
          </w:p>
        </w:tc>
        <w:tc>
          <w:tcPr>
            <w:tcW w:type="dxa" w:w="804"/>
          </w:tcPr>
          <w:p>
            <w:r>
              <w:t>-4.03</w:t>
            </w:r>
          </w:p>
        </w:tc>
        <w:tc>
          <w:tcPr>
            <w:tcW w:type="dxa" w:w="804"/>
          </w:tcPr>
          <w:p>
            <w:r>
              <w:t>-3.67</w:t>
            </w:r>
          </w:p>
        </w:tc>
        <w:tc>
          <w:tcPr>
            <w:tcW w:type="dxa" w:w="804"/>
          </w:tcPr>
          <w:p>
            <w:r>
              <w:t>-3.07</w:t>
            </w:r>
          </w:p>
        </w:tc>
        <w:tc>
          <w:tcPr>
            <w:tcW w:type="dxa" w:w="804"/>
          </w:tcPr>
          <w:p>
            <w:r>
              <w:t>-1.22</w:t>
            </w:r>
          </w:p>
        </w:tc>
        <w:tc>
          <w:tcPr>
            <w:tcW w:type="dxa" w:w="804"/>
          </w:tcPr>
          <w:p>
            <w:r>
              <w:t>-4.49</w:t>
            </w:r>
          </w:p>
        </w:tc>
        <w:tc>
          <w:tcPr>
            <w:tcW w:type="dxa" w:w="804"/>
          </w:tcPr>
          <w:p>
            <w:r>
              <w:t>-1.84</w:t>
            </w:r>
          </w:p>
        </w:tc>
        <w:tc>
          <w:tcPr>
            <w:tcW w:type="dxa" w:w="804"/>
          </w:tcPr>
          <w:p>
            <w:r>
              <w:t>0.000</w:t>
            </w:r>
          </w:p>
        </w:tc>
      </w:tr>
      <w:tr>
        <w:tc>
          <w:tcPr>
            <w:tcW w:type="dxa" w:w="804"/>
          </w:tcPr>
          <w:p>
            <w:r>
              <w:t>M18</w:t>
            </w:r>
          </w:p>
        </w:tc>
        <w:tc>
          <w:tcPr>
            <w:tcW w:type="dxa" w:w="804"/>
          </w:tcPr>
          <w:p>
            <w:r>
              <w:t>V2</w:t>
            </w:r>
          </w:p>
        </w:tc>
        <w:tc>
          <w:tcPr>
            <w:tcW w:type="dxa" w:w="804"/>
          </w:tcPr>
          <w:p>
            <w:r>
              <w:t>Morocco 2012-2026</w:t>
            </w:r>
          </w:p>
        </w:tc>
        <w:tc>
          <w:tcPr>
            <w:tcW w:type="dxa" w:w="804"/>
          </w:tcPr>
          <w:p>
            <w:r>
              <w:t>open-free form vs Anam, 5 sessions</w:t>
            </w:r>
          </w:p>
        </w:tc>
        <w:tc>
          <w:tcPr>
            <w:tcW w:type="dxa" w:w="804"/>
          </w:tcPr>
          <w:p>
            <w:r>
              <w:t>-4.75</w:t>
            </w:r>
          </w:p>
        </w:tc>
        <w:tc>
          <w:tcPr>
            <w:tcW w:type="dxa" w:w="804"/>
          </w:tcPr>
          <w:p>
            <w:r>
              <w:t>-4.23</w:t>
            </w:r>
          </w:p>
        </w:tc>
        <w:tc>
          <w:tcPr>
            <w:tcW w:type="dxa" w:w="804"/>
          </w:tcPr>
          <w:p>
            <w:r>
              <w:t>-3.84</w:t>
            </w:r>
          </w:p>
        </w:tc>
        <w:tc>
          <w:tcPr>
            <w:tcW w:type="dxa" w:w="804"/>
          </w:tcPr>
          <w:p>
            <w:r>
              <w:t>-3.45</w:t>
            </w:r>
          </w:p>
        </w:tc>
        <w:tc>
          <w:tcPr>
            <w:tcW w:type="dxa" w:w="804"/>
          </w:tcPr>
          <w:p>
            <w:r>
              <w:t>-4.45</w:t>
            </w:r>
          </w:p>
        </w:tc>
        <w:tc>
          <w:tcPr>
            <w:tcW w:type="dxa" w:w="804"/>
          </w:tcPr>
          <w:p>
            <w:r>
              <w:t>-2.82</w:t>
            </w:r>
          </w:p>
        </w:tc>
        <w:tc>
          <w:tcPr>
            <w:tcW w:type="dxa" w:w="804"/>
          </w:tcPr>
          <w:p>
            <w:r>
              <w:t>-5.15</w:t>
            </w:r>
          </w:p>
        </w:tc>
        <w:tc>
          <w:tcPr>
            <w:tcW w:type="dxa" w:w="804"/>
          </w:tcPr>
          <w:p>
            <w:r>
              <w:t>0.000</w:t>
            </w:r>
          </w:p>
        </w:tc>
      </w:tr>
      <w:tr>
        <w:tc>
          <w:tcPr>
            <w:tcW w:type="dxa" w:w="804"/>
          </w:tcPr>
          <w:p>
            <w:r>
              <w:t>M16</w:t>
            </w:r>
          </w:p>
        </w:tc>
        <w:tc>
          <w:tcPr>
            <w:tcW w:type="dxa" w:w="804"/>
          </w:tcPr>
          <w:p>
            <w:r>
              <w:t>reported</w:t>
            </w:r>
          </w:p>
        </w:tc>
        <w:tc>
          <w:tcPr>
            <w:tcW w:type="dxa" w:w="804"/>
          </w:tcPr>
          <w:p>
            <w:r>
              <w:t>NEPSE, regime C</w:t>
            </w:r>
          </w:p>
        </w:tc>
        <w:tc>
          <w:tcPr>
            <w:tcW w:type="dxa" w:w="804"/>
          </w:tcPr>
          <w:p>
            <w:r>
              <w:t>Anam vs close-to-close, 5 sessions</w:t>
            </w:r>
          </w:p>
        </w:tc>
        <w:tc>
          <w:tcPr>
            <w:tcW w:type="dxa" w:w="804"/>
          </w:tcPr>
          <w:p>
            <w:r>
              <w:t>+3.51</w:t>
            </w:r>
          </w:p>
        </w:tc>
        <w:tc>
          <w:tcPr>
            <w:tcW w:type="dxa" w:w="804"/>
          </w:tcPr>
          <w:p>
            <w:r>
              <w:t>+3.28</w:t>
            </w:r>
          </w:p>
        </w:tc>
        <w:tc>
          <w:tcPr>
            <w:tcW w:type="dxa" w:w="804"/>
          </w:tcPr>
          <w:p>
            <w:r>
              <w:t>+3.16</w:t>
            </w:r>
          </w:p>
        </w:tc>
        <w:tc>
          <w:tcPr>
            <w:tcW w:type="dxa" w:w="804"/>
          </w:tcPr>
          <w:p>
            <w:r>
              <w:t>+2.90</w:t>
            </w:r>
          </w:p>
        </w:tc>
        <w:tc>
          <w:tcPr>
            <w:tcW w:type="dxa" w:w="804"/>
          </w:tcPr>
          <w:p>
            <w:r>
              <w:t>-1.19</w:t>
            </w:r>
          </w:p>
        </w:tc>
        <w:tc>
          <w:tcPr>
            <w:tcW w:type="dxa" w:w="804"/>
          </w:tcPr>
          <w:p>
            <w:r>
              <w:t>+4.31</w:t>
            </w:r>
          </w:p>
        </w:tc>
        <w:tc>
          <w:tcPr>
            <w:tcW w:type="dxa" w:w="804"/>
          </w:tcPr>
          <w:p>
            <w:r>
              <w:t>+1.36</w:t>
            </w:r>
          </w:p>
        </w:tc>
        <w:tc>
          <w:tcPr>
            <w:tcW w:type="dxa" w:w="804"/>
          </w:tcPr>
          <w:p>
            <w:r>
              <w:t>-</w:t>
            </w:r>
          </w:p>
        </w:tc>
      </w:tr>
      <w:tr>
        <w:tc>
          <w:tcPr>
            <w:tcW w:type="dxa" w:w="804"/>
          </w:tcPr>
          <w:p>
            <w:r>
              <w:t>M17</w:t>
            </w:r>
          </w:p>
        </w:tc>
        <w:tc>
          <w:tcPr>
            <w:tcW w:type="dxa" w:w="804"/>
          </w:tcPr>
          <w:p>
            <w:r>
              <w:t>reported</w:t>
            </w:r>
          </w:p>
        </w:tc>
        <w:tc>
          <w:tcPr>
            <w:tcW w:type="dxa" w:w="804"/>
          </w:tcPr>
          <w:p>
            <w:r>
              <w:t>Vietnam 2007-2020</w:t>
            </w:r>
          </w:p>
        </w:tc>
        <w:tc>
          <w:tcPr>
            <w:tcW w:type="dxa" w:w="804"/>
          </w:tcPr>
          <w:p>
            <w:r>
              <w:t>Anam vs close-to-close, 21 sessions</w:t>
            </w:r>
          </w:p>
        </w:tc>
        <w:tc>
          <w:tcPr>
            <w:tcW w:type="dxa" w:w="804"/>
          </w:tcPr>
          <w:p>
            <w:r>
              <w:t>+7.27</w:t>
            </w:r>
          </w:p>
        </w:tc>
        <w:tc>
          <w:tcPr>
            <w:tcW w:type="dxa" w:w="804"/>
          </w:tcPr>
          <w:p>
            <w:r>
              <w:t>+6.16</w:t>
            </w:r>
          </w:p>
        </w:tc>
        <w:tc>
          <w:tcPr>
            <w:tcW w:type="dxa" w:w="804"/>
          </w:tcPr>
          <w:p>
            <w:r>
              <w:t>+5.47</w:t>
            </w:r>
          </w:p>
        </w:tc>
        <w:tc>
          <w:tcPr>
            <w:tcW w:type="dxa" w:w="804"/>
          </w:tcPr>
          <w:p>
            <w:r>
              <w:t>+5.19</w:t>
            </w:r>
          </w:p>
        </w:tc>
        <w:tc>
          <w:tcPr>
            <w:tcW w:type="dxa" w:w="804"/>
          </w:tcPr>
          <w:p>
            <w:r>
              <w:t>+15.87</w:t>
            </w:r>
          </w:p>
        </w:tc>
        <w:tc>
          <w:tcPr>
            <w:tcW w:type="dxa" w:w="804"/>
          </w:tcPr>
          <w:p>
            <w:r>
              <w:t>+5.67</w:t>
            </w:r>
          </w:p>
        </w:tc>
        <w:tc>
          <w:tcPr>
            <w:tcW w:type="dxa" w:w="804"/>
          </w:tcPr>
          <w:p>
            <w:r>
              <w:t>+4.81</w:t>
            </w:r>
          </w:p>
        </w:tc>
        <w:tc>
          <w:tcPr>
            <w:tcW w:type="dxa" w:w="804"/>
          </w:tcPr>
          <w:p>
            <w:r>
              <w:t>-</w:t>
            </w:r>
          </w:p>
        </w:tc>
      </w:tr>
    </w:tbl>
    <w:p/>
    <w:p>
      <w:pPr/>
      <w:r>
        <w:t>Table 38. Level under the same calibration (post hoc, script 44): each estimator's 21-session mean, calibrated by the pooled scheme of Anam's estimator, divided by the 21-session mean of r², with the calibration ending at the window's last session as in Table 35 and, in the last two columns, ending before the window starts.</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rPr>
          <w:tblHeader/>
        </w:trPr>
        <w:tc>
          <w:tcPr>
            <w:tcW w:type="dxa" w:w="965"/>
          </w:tcPr>
          <w:p>
            <w:r>
              <w:t>Test sample</w:t>
            </w:r>
          </w:p>
        </w:tc>
        <w:tc>
          <w:tcPr>
            <w:tcW w:type="dxa" w:w="965"/>
          </w:tcPr>
          <w:p>
            <w:r>
              <w:t>Anam</w:t>
            </w:r>
          </w:p>
        </w:tc>
        <w:tc>
          <w:tcPr>
            <w:tcW w:type="dxa" w:w="965"/>
          </w:tcPr>
          <w:p>
            <w:r>
              <w:t>Anam, open-free form</w:t>
            </w:r>
          </w:p>
        </w:tc>
        <w:tc>
          <w:tcPr>
            <w:tcW w:type="dxa" w:w="965"/>
          </w:tcPr>
          <w:p>
            <w:r>
              <w:t>Parkinson</w:t>
            </w:r>
          </w:p>
        </w:tc>
        <w:tc>
          <w:tcPr>
            <w:tcW w:type="dxa" w:w="965"/>
          </w:tcPr>
          <w:p>
            <w:r>
              <w:t>Garman-Klass</w:t>
            </w:r>
          </w:p>
        </w:tc>
        <w:tc>
          <w:tcPr>
            <w:tcW w:type="dxa" w:w="965"/>
          </w:tcPr>
          <w:p>
            <w:r>
              <w:t>overnight² + Parkinson</w:t>
            </w:r>
          </w:p>
        </w:tc>
        <w:tc>
          <w:tcPr>
            <w:tcW w:type="dxa" w:w="965"/>
          </w:tcPr>
          <w:p>
            <w:r>
              <w:t>Yang-Zhang (daily form)</w:t>
            </w:r>
          </w:p>
        </w:tc>
        <w:tc>
          <w:tcPr>
            <w:tcW w:type="dxa" w:w="965"/>
          </w:tcPr>
          <w:p>
            <w:r>
              <w:t>All six classical range estimators</w:t>
            </w:r>
          </w:p>
        </w:tc>
        <w:tc>
          <w:tcPr>
            <w:tcW w:type="dxa" w:w="965"/>
          </w:tcPr>
          <w:p>
            <w:r>
              <w:t>Anam, calibration ending before the window</w:t>
            </w:r>
          </w:p>
        </w:tc>
        <w:tc>
          <w:tcPr>
            <w:tcW w:type="dxa" w:w="965"/>
          </w:tcPr>
          <w:p>
            <w:r>
              <w:t>Six classical, calibration ending before the window</w:t>
            </w:r>
          </w:p>
        </w:tc>
      </w:tr>
      <w:tr>
        <w:tc>
          <w:tcPr>
            <w:tcW w:type="dxa" w:w="965"/>
          </w:tcPr>
          <w:p>
            <w:r>
              <w:t>NEPSE, regime A2</w:t>
            </w:r>
          </w:p>
        </w:tc>
        <w:tc>
          <w:tcPr>
            <w:tcW w:type="dxa" w:w="965"/>
          </w:tcPr>
          <w:p>
            <w:r>
              <w:t>1.011</w:t>
            </w:r>
          </w:p>
        </w:tc>
        <w:tc>
          <w:tcPr>
            <w:tcW w:type="dxa" w:w="965"/>
          </w:tcPr>
          <w:p>
            <w:r>
              <w:t>1.010</w:t>
            </w:r>
          </w:p>
        </w:tc>
        <w:tc>
          <w:tcPr>
            <w:tcW w:type="dxa" w:w="965"/>
          </w:tcPr>
          <w:p>
            <w:r>
              <w:t>1.011</w:t>
            </w:r>
          </w:p>
        </w:tc>
        <w:tc>
          <w:tcPr>
            <w:tcW w:type="dxa" w:w="965"/>
          </w:tcPr>
          <w:p>
            <w:r>
              <w:t>1.016</w:t>
            </w:r>
          </w:p>
        </w:tc>
        <w:tc>
          <w:tcPr>
            <w:tcW w:type="dxa" w:w="965"/>
          </w:tcPr>
          <w:p>
            <w:r>
              <w:t>1.015</w:t>
            </w:r>
          </w:p>
        </w:tc>
        <w:tc>
          <w:tcPr>
            <w:tcW w:type="dxa" w:w="965"/>
          </w:tcPr>
          <w:p>
            <w:r>
              <w:t>1.018</w:t>
            </w:r>
          </w:p>
        </w:tc>
        <w:tc>
          <w:tcPr>
            <w:tcW w:type="dxa" w:w="965"/>
          </w:tcPr>
          <w:p>
            <w:r>
              <w:t>1.011 to 1.019</w:t>
            </w:r>
          </w:p>
        </w:tc>
        <w:tc>
          <w:tcPr>
            <w:tcW w:type="dxa" w:w="965"/>
          </w:tcPr>
          <w:p>
            <w:r>
              <w:t>0.978</w:t>
            </w:r>
          </w:p>
        </w:tc>
        <w:tc>
          <w:tcPr>
            <w:tcW w:type="dxa" w:w="965"/>
          </w:tcPr>
          <w:p>
            <w:r>
              <w:t>0.968 to 0.976</w:t>
            </w:r>
          </w:p>
        </w:tc>
      </w:tr>
      <w:tr>
        <w:tc>
          <w:tcPr>
            <w:tcW w:type="dxa" w:w="965"/>
          </w:tcPr>
          <w:p>
            <w:r>
              <w:t>NEPSE, regime C (after the reform)</w:t>
            </w:r>
          </w:p>
        </w:tc>
        <w:tc>
          <w:tcPr>
            <w:tcW w:type="dxa" w:w="965"/>
          </w:tcPr>
          <w:p>
            <w:r>
              <w:t>1.195</w:t>
            </w:r>
          </w:p>
        </w:tc>
        <w:tc>
          <w:tcPr>
            <w:tcW w:type="dxa" w:w="965"/>
          </w:tcPr>
          <w:p>
            <w:r>
              <w:t>1.190</w:t>
            </w:r>
          </w:p>
        </w:tc>
        <w:tc>
          <w:tcPr>
            <w:tcW w:type="dxa" w:w="965"/>
          </w:tcPr>
          <w:p>
            <w:r>
              <w:t>1.241</w:t>
            </w:r>
          </w:p>
        </w:tc>
        <w:tc>
          <w:tcPr>
            <w:tcW w:type="dxa" w:w="965"/>
          </w:tcPr>
          <w:p>
            <w:r>
              <w:t>1.251</w:t>
            </w:r>
          </w:p>
        </w:tc>
        <w:tc>
          <w:tcPr>
            <w:tcW w:type="dxa" w:w="965"/>
          </w:tcPr>
          <w:p>
            <w:r>
              <w:t>1.325</w:t>
            </w:r>
          </w:p>
        </w:tc>
        <w:tc>
          <w:tcPr>
            <w:tcW w:type="dxa" w:w="965"/>
          </w:tcPr>
          <w:p>
            <w:r>
              <w:t>1.339</w:t>
            </w:r>
          </w:p>
        </w:tc>
        <w:tc>
          <w:tcPr>
            <w:tcW w:type="dxa" w:w="965"/>
          </w:tcPr>
          <w:p>
            <w:r>
              <w:t>1.241 to 1.339</w:t>
            </w:r>
          </w:p>
        </w:tc>
        <w:tc>
          <w:tcPr>
            <w:tcW w:type="dxa" w:w="965"/>
          </w:tcPr>
          <w:p>
            <w:r>
              <w:t>1.306</w:t>
            </w:r>
          </w:p>
        </w:tc>
        <w:tc>
          <w:tcPr>
            <w:tcW w:type="dxa" w:w="965"/>
          </w:tcPr>
          <w:p>
            <w:r>
              <w:t>1.378 to 1.598</w:t>
            </w:r>
          </w:p>
        </w:tc>
      </w:tr>
      <w:tr>
        <w:tc>
          <w:tcPr>
            <w:tcW w:type="dxa" w:w="965"/>
          </w:tcPr>
          <w:p>
            <w:r>
              <w:t>NIFTY 50 (index)</w:t>
            </w:r>
          </w:p>
        </w:tc>
        <w:tc>
          <w:tcPr>
            <w:tcW w:type="dxa" w:w="965"/>
          </w:tcPr>
          <w:p>
            <w:r>
              <w:t>1.011</w:t>
            </w:r>
          </w:p>
        </w:tc>
        <w:tc>
          <w:tcPr>
            <w:tcW w:type="dxa" w:w="965"/>
          </w:tcPr>
          <w:p>
            <w:r>
              <w:t>0.992</w:t>
            </w:r>
          </w:p>
        </w:tc>
        <w:tc>
          <w:tcPr>
            <w:tcW w:type="dxa" w:w="965"/>
          </w:tcPr>
          <w:p>
            <w:r>
              <w:t>0.978</w:t>
            </w:r>
          </w:p>
        </w:tc>
        <w:tc>
          <w:tcPr>
            <w:tcW w:type="dxa" w:w="965"/>
          </w:tcPr>
          <w:p>
            <w:r>
              <w:t>0.978</w:t>
            </w:r>
          </w:p>
        </w:tc>
        <w:tc>
          <w:tcPr>
            <w:tcW w:type="dxa" w:w="965"/>
          </w:tcPr>
          <w:p>
            <w:r>
              <w:t>1.007</w:t>
            </w:r>
          </w:p>
        </w:tc>
        <w:tc>
          <w:tcPr>
            <w:tcW w:type="dxa" w:w="965"/>
          </w:tcPr>
          <w:p>
            <w:r>
              <w:t>1.008</w:t>
            </w:r>
          </w:p>
        </w:tc>
        <w:tc>
          <w:tcPr>
            <w:tcW w:type="dxa" w:w="965"/>
          </w:tcPr>
          <w:p>
            <w:r>
              <w:t>0.978 to 1.008</w:t>
            </w:r>
          </w:p>
        </w:tc>
        <w:tc>
          <w:tcPr>
            <w:tcW w:type="dxa" w:w="965"/>
          </w:tcPr>
          <w:p>
            <w:r>
              <w:t>1.013</w:t>
            </w:r>
          </w:p>
        </w:tc>
        <w:tc>
          <w:tcPr>
            <w:tcW w:type="dxa" w:w="965"/>
          </w:tcPr>
          <w:p>
            <w:r>
              <w:t>0.952 to 1.020</w:t>
            </w:r>
          </w:p>
        </w:tc>
      </w:tr>
      <w:tr>
        <w:tc>
          <w:tcPr>
            <w:tcW w:type="dxa" w:w="965"/>
          </w:tcPr>
          <w:p>
            <w:r>
              <w:t>S&amp;P 500 (index)</w:t>
            </w:r>
          </w:p>
        </w:tc>
        <w:tc>
          <w:tcPr>
            <w:tcW w:type="dxa" w:w="965"/>
          </w:tcPr>
          <w:p>
            <w:r>
              <w:t>1.009</w:t>
            </w:r>
          </w:p>
        </w:tc>
        <w:tc>
          <w:tcPr>
            <w:tcW w:type="dxa" w:w="965"/>
          </w:tcPr>
          <w:p>
            <w:r>
              <w:t>1.008</w:t>
            </w:r>
          </w:p>
        </w:tc>
        <w:tc>
          <w:tcPr>
            <w:tcW w:type="dxa" w:w="965"/>
          </w:tcPr>
          <w:p>
            <w:r>
              <w:t>1.003</w:t>
            </w:r>
          </w:p>
        </w:tc>
        <w:tc>
          <w:tcPr>
            <w:tcW w:type="dxa" w:w="965"/>
          </w:tcPr>
          <w:p>
            <w:r>
              <w:t>1.010</w:t>
            </w:r>
          </w:p>
        </w:tc>
        <w:tc>
          <w:tcPr>
            <w:tcW w:type="dxa" w:w="965"/>
          </w:tcPr>
          <w:p>
            <w:r>
              <w:t>1.009</w:t>
            </w:r>
          </w:p>
        </w:tc>
        <w:tc>
          <w:tcPr>
            <w:tcW w:type="dxa" w:w="965"/>
          </w:tcPr>
          <w:p>
            <w:r>
              <w:t>1.014</w:t>
            </w:r>
          </w:p>
        </w:tc>
        <w:tc>
          <w:tcPr>
            <w:tcW w:type="dxa" w:w="965"/>
          </w:tcPr>
          <w:p>
            <w:r>
              <w:t>1.003 to 1.015</w:t>
            </w:r>
          </w:p>
        </w:tc>
        <w:tc>
          <w:tcPr>
            <w:tcW w:type="dxa" w:w="965"/>
          </w:tcPr>
          <w:p>
            <w:r>
              <w:t>1.004</w:t>
            </w:r>
          </w:p>
        </w:tc>
        <w:tc>
          <w:tcPr>
            <w:tcW w:type="dxa" w:w="965"/>
          </w:tcPr>
          <w:p>
            <w:r>
              <w:t>1.001 to 1.015</w:t>
            </w:r>
          </w:p>
        </w:tc>
      </w:tr>
      <w:tr>
        <w:tc>
          <w:tcPr>
            <w:tcW w:type="dxa" w:w="965"/>
          </w:tcPr>
          <w:p>
            <w:r>
              <w:t>Dhaka 2023-2026</w:t>
            </w:r>
          </w:p>
        </w:tc>
        <w:tc>
          <w:tcPr>
            <w:tcW w:type="dxa" w:w="965"/>
          </w:tcPr>
          <w:p>
            <w:r>
              <w:t>1.002</w:t>
            </w:r>
          </w:p>
        </w:tc>
        <w:tc>
          <w:tcPr>
            <w:tcW w:type="dxa" w:w="965"/>
          </w:tcPr>
          <w:p>
            <w:r>
              <w:t>1.002</w:t>
            </w:r>
          </w:p>
        </w:tc>
        <w:tc>
          <w:tcPr>
            <w:tcW w:type="dxa" w:w="965"/>
          </w:tcPr>
          <w:p>
            <w:r>
              <w:t>1.004</w:t>
            </w:r>
          </w:p>
        </w:tc>
        <w:tc>
          <w:tcPr>
            <w:tcW w:type="dxa" w:w="965"/>
          </w:tcPr>
          <w:p>
            <w:r>
              <w:t>1.005</w:t>
            </w:r>
          </w:p>
        </w:tc>
        <w:tc>
          <w:tcPr>
            <w:tcW w:type="dxa" w:w="965"/>
          </w:tcPr>
          <w:p>
            <w:r>
              <w:t>0.998</w:t>
            </w:r>
          </w:p>
        </w:tc>
        <w:tc>
          <w:tcPr>
            <w:tcW w:type="dxa" w:w="965"/>
          </w:tcPr>
          <w:p>
            <w:r>
              <w:t>0.999</w:t>
            </w:r>
          </w:p>
        </w:tc>
        <w:tc>
          <w:tcPr>
            <w:tcW w:type="dxa" w:w="965"/>
          </w:tcPr>
          <w:p>
            <w:r>
              <w:t>0.998 to 1.005</w:t>
            </w:r>
          </w:p>
        </w:tc>
        <w:tc>
          <w:tcPr>
            <w:tcW w:type="dxa" w:w="965"/>
          </w:tcPr>
          <w:p>
            <w:r>
              <w:t>1.001</w:t>
            </w:r>
          </w:p>
        </w:tc>
        <w:tc>
          <w:tcPr>
            <w:tcW w:type="dxa" w:w="965"/>
          </w:tcPr>
          <w:p>
            <w:r>
              <w:t>0.994 to 1.006</w:t>
            </w:r>
          </w:p>
        </w:tc>
      </w:tr>
      <w:tr>
        <w:tc>
          <w:tcPr>
            <w:tcW w:type="dxa" w:w="965"/>
          </w:tcPr>
          <w:p>
            <w:r>
              <w:t>Vietnam 2007-2020</w:t>
            </w:r>
          </w:p>
        </w:tc>
        <w:tc>
          <w:tcPr>
            <w:tcW w:type="dxa" w:w="965"/>
          </w:tcPr>
          <w:p>
            <w:r>
              <w:t>1.009</w:t>
            </w:r>
          </w:p>
        </w:tc>
        <w:tc>
          <w:tcPr>
            <w:tcW w:type="dxa" w:w="965"/>
          </w:tcPr>
          <w:p>
            <w:r>
              <w:t>1.008</w:t>
            </w:r>
          </w:p>
        </w:tc>
        <w:tc>
          <w:tcPr>
            <w:tcW w:type="dxa" w:w="965"/>
          </w:tcPr>
          <w:p>
            <w:r>
              <w:t>1.018</w:t>
            </w:r>
          </w:p>
        </w:tc>
        <w:tc>
          <w:tcPr>
            <w:tcW w:type="dxa" w:w="965"/>
          </w:tcPr>
          <w:p>
            <w:r>
              <w:t>1.021</w:t>
            </w:r>
          </w:p>
        </w:tc>
        <w:tc>
          <w:tcPr>
            <w:tcW w:type="dxa" w:w="965"/>
          </w:tcPr>
          <w:p>
            <w:r>
              <w:t>1.005</w:t>
            </w:r>
          </w:p>
        </w:tc>
        <w:tc>
          <w:tcPr>
            <w:tcW w:type="dxa" w:w="965"/>
          </w:tcPr>
          <w:p>
            <w:r>
              <w:t>1.006</w:t>
            </w:r>
          </w:p>
        </w:tc>
        <w:tc>
          <w:tcPr>
            <w:tcW w:type="dxa" w:w="965"/>
          </w:tcPr>
          <w:p>
            <w:r>
              <w:t>1.005 to 1.022</w:t>
            </w:r>
          </w:p>
        </w:tc>
        <w:tc>
          <w:tcPr>
            <w:tcW w:type="dxa" w:w="965"/>
          </w:tcPr>
          <w:p>
            <w:r>
              <w:t>1.010</w:t>
            </w:r>
          </w:p>
        </w:tc>
        <w:tc>
          <w:tcPr>
            <w:tcW w:type="dxa" w:w="965"/>
          </w:tcPr>
          <w:p>
            <w:r>
              <w:t>1.005 to 1.026</w:t>
            </w:r>
          </w:p>
        </w:tc>
      </w:tr>
      <w:tr>
        <w:tc>
          <w:tcPr>
            <w:tcW w:type="dxa" w:w="965"/>
          </w:tcPr>
          <w:p>
            <w:r>
              <w:t>Dhaka 2009-2021 (dates repaired)</w:t>
            </w:r>
          </w:p>
        </w:tc>
        <w:tc>
          <w:tcPr>
            <w:tcW w:type="dxa" w:w="965"/>
          </w:tcPr>
          <w:p>
            <w:r>
              <w:t>1.004</w:t>
            </w:r>
          </w:p>
        </w:tc>
        <w:tc>
          <w:tcPr>
            <w:tcW w:type="dxa" w:w="965"/>
          </w:tcPr>
          <w:p>
            <w:r>
              <w:t>1.004</w:t>
            </w:r>
          </w:p>
        </w:tc>
        <w:tc>
          <w:tcPr>
            <w:tcW w:type="dxa" w:w="965"/>
          </w:tcPr>
          <w:p>
            <w:r>
              <w:t>1.007</w:t>
            </w:r>
          </w:p>
        </w:tc>
        <w:tc>
          <w:tcPr>
            <w:tcW w:type="dxa" w:w="965"/>
          </w:tcPr>
          <w:p>
            <w:r>
              <w:t>1.006</w:t>
            </w:r>
          </w:p>
        </w:tc>
        <w:tc>
          <w:tcPr>
            <w:tcW w:type="dxa" w:w="965"/>
          </w:tcPr>
          <w:p>
            <w:r>
              <w:t>1.003</w:t>
            </w:r>
          </w:p>
        </w:tc>
        <w:tc>
          <w:tcPr>
            <w:tcW w:type="dxa" w:w="965"/>
          </w:tcPr>
          <w:p>
            <w:r>
              <w:t>1.002</w:t>
            </w:r>
          </w:p>
        </w:tc>
        <w:tc>
          <w:tcPr>
            <w:tcW w:type="dxa" w:w="965"/>
          </w:tcPr>
          <w:p>
            <w:r>
              <w:t>1.002 to 1.007</w:t>
            </w:r>
          </w:p>
        </w:tc>
        <w:tc>
          <w:tcPr>
            <w:tcW w:type="dxa" w:w="965"/>
          </w:tcPr>
          <w:p>
            <w:r>
              <w:t>1.006</w:t>
            </w:r>
          </w:p>
        </w:tc>
        <w:tc>
          <w:tcPr>
            <w:tcW w:type="dxa" w:w="965"/>
          </w:tcPr>
          <w:p>
            <w:r>
              <w:t>1.003 to 1.011</w:t>
            </w:r>
          </w:p>
        </w:tc>
      </w:tr>
      <w:tr>
        <w:tc>
          <w:tcPr>
            <w:tcW w:type="dxa" w:w="965"/>
          </w:tcPr>
          <w:p>
            <w:r>
              <w:t>Morocco 2012-2026</w:t>
            </w:r>
          </w:p>
        </w:tc>
        <w:tc>
          <w:tcPr>
            <w:tcW w:type="dxa" w:w="965"/>
          </w:tcPr>
          <w:p>
            <w:r>
              <w:t>1.005</w:t>
            </w:r>
          </w:p>
        </w:tc>
        <w:tc>
          <w:tcPr>
            <w:tcW w:type="dxa" w:w="965"/>
          </w:tcPr>
          <w:p>
            <w:r>
              <w:t>1.005</w:t>
            </w:r>
          </w:p>
        </w:tc>
        <w:tc>
          <w:tcPr>
            <w:tcW w:type="dxa" w:w="965"/>
          </w:tcPr>
          <w:p>
            <w:r>
              <w:t>1.013</w:t>
            </w:r>
          </w:p>
        </w:tc>
        <w:tc>
          <w:tcPr>
            <w:tcW w:type="dxa" w:w="965"/>
          </w:tcPr>
          <w:p>
            <w:r>
              <w:t>1.015</w:t>
            </w:r>
          </w:p>
        </w:tc>
        <w:tc>
          <w:tcPr>
            <w:tcW w:type="dxa" w:w="965"/>
          </w:tcPr>
          <w:p>
            <w:r>
              <w:t>1.003</w:t>
            </w:r>
          </w:p>
        </w:tc>
        <w:tc>
          <w:tcPr>
            <w:tcW w:type="dxa" w:w="965"/>
          </w:tcPr>
          <w:p>
            <w:r>
              <w:t>1.004</w:t>
            </w:r>
          </w:p>
        </w:tc>
        <w:tc>
          <w:tcPr>
            <w:tcW w:type="dxa" w:w="965"/>
          </w:tcPr>
          <w:p>
            <w:r>
              <w:t>1.003 to 1.015</w:t>
            </w:r>
          </w:p>
        </w:tc>
        <w:tc>
          <w:tcPr>
            <w:tcW w:type="dxa" w:w="965"/>
          </w:tcPr>
          <w:p>
            <w:r>
              <w:t>1.002</w:t>
            </w:r>
          </w:p>
        </w:tc>
        <w:tc>
          <w:tcPr>
            <w:tcW w:type="dxa" w:w="965"/>
          </w:tcPr>
          <w:p>
            <w:r>
              <w:t>0.998 to 1.020</w:t>
            </w:r>
          </w:p>
        </w:tc>
      </w:tr>
    </w:tbl>
    <w:p/>
    <w:p>
      <w:pPr/>
      <w:r>
        <w:t>Table 39. The corrected forecast evaluation (plan M20, frozen before it was run; script 47), on each test sample's primary span: the t of each form's loss minus close-to-close's (negative favours the form; the mean over stock-days with a standard error clustered by date), the Holm-adjusted one-sided p of 'beats close-to-close' across the seven samples, the best return-only and range-based forecasts chosen on the training span with the t of their test-loss difference, the lowest test loss of the seventeen forecasts, and membership of the 90% model confidence set.</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rPr>
          <w:tblHeader/>
        </w:trPr>
        <w:tc>
          <w:tcPr>
            <w:tcW w:type="dxa" w:w="965"/>
          </w:tcPr>
          <w:p>
            <w:r>
              <w:t>Test sample</w:t>
            </w:r>
          </w:p>
        </w:tc>
        <w:tc>
          <w:tcPr>
            <w:tcW w:type="dxa" w:w="965"/>
          </w:tcPr>
          <w:p>
            <w:r>
              <w:t>Horizon (sessions)</w:t>
            </w:r>
          </w:p>
        </w:tc>
        <w:tc>
          <w:tcPr>
            <w:tcW w:type="dxa" w:w="965"/>
          </w:tcPr>
          <w:p>
            <w:r>
              <w:t>Anam minus close-to-close: t</w:t>
            </w:r>
          </w:p>
        </w:tc>
        <w:tc>
          <w:tcPr>
            <w:tcW w:type="dxa" w:w="965"/>
          </w:tcPr>
          <w:p>
            <w:r>
              <w:t>Open-free form minus close-to-close: t</w:t>
            </w:r>
          </w:p>
        </w:tc>
        <w:tc>
          <w:tcPr>
            <w:tcW w:type="dxa" w:w="965"/>
          </w:tcPr>
          <w:p>
            <w:r>
              <w:t>Holm p, beats close-to-close (Anam / open-free)</w:t>
            </w:r>
          </w:p>
        </w:tc>
        <w:tc>
          <w:tcPr>
            <w:tcW w:type="dxa" w:w="965"/>
          </w:tcPr>
          <w:p>
            <w:r>
              <w:t>Best return-only (training)</w:t>
            </w:r>
          </w:p>
        </w:tc>
        <w:tc>
          <w:tcPr>
            <w:tcW w:type="dxa" w:w="965"/>
          </w:tcPr>
          <w:p>
            <w:r>
              <w:t>Best range-based (training)</w:t>
            </w:r>
          </w:p>
        </w:tc>
        <w:tc>
          <w:tcPr>
            <w:tcW w:type="dxa" w:w="965"/>
          </w:tcPr>
          <w:p>
            <w:r>
              <w:t>Range-based minus return-only: t (verdict)</w:t>
            </w:r>
          </w:p>
        </w:tc>
        <w:tc>
          <w:tcPr>
            <w:tcW w:type="dxa" w:w="965"/>
          </w:tcPr>
          <w:p>
            <w:r>
              <w:t>Lowest test loss of 17</w:t>
            </w:r>
          </w:p>
        </w:tc>
        <w:tc>
          <w:tcPr>
            <w:tcW w:type="dxa" w:w="965"/>
          </w:tcPr>
          <w:p>
            <w:r>
              <w:t>In the 90% confidence set (close-to-close / Anam / open-free / HAR on open-free)</w:t>
            </w:r>
          </w:p>
        </w:tc>
      </w:tr>
      <w:tr>
        <w:tc>
          <w:tcPr>
            <w:tcW w:type="dxa" w:w="965"/>
          </w:tcPr>
          <w:p>
            <w:r>
              <w:t>NEPSE, regimes A2 and C</w:t>
            </w:r>
          </w:p>
        </w:tc>
        <w:tc>
          <w:tcPr>
            <w:tcW w:type="dxa" w:w="965"/>
          </w:tcPr>
          <w:p>
            <w:r>
              <w:t>5</w:t>
            </w:r>
          </w:p>
        </w:tc>
        <w:tc>
          <w:tcPr>
            <w:tcW w:type="dxa" w:w="965"/>
          </w:tcPr>
          <w:p>
            <w:r>
              <w:t>+0.82</w:t>
            </w:r>
          </w:p>
        </w:tc>
        <w:tc>
          <w:tcPr>
            <w:tcW w:type="dxa" w:w="965"/>
          </w:tcPr>
          <w:p>
            <w:r>
              <w:t>+0.63</w:t>
            </w:r>
          </w:p>
        </w:tc>
        <w:tc>
          <w:tcPr>
            <w:tcW w:type="dxa" w:w="965"/>
          </w:tcPr>
          <w:p>
            <w:r>
              <w:t>1.000 / 0.736</w:t>
            </w:r>
          </w:p>
        </w:tc>
        <w:tc>
          <w:tcPr>
            <w:tcW w:type="dxa" w:w="965"/>
          </w:tcPr>
          <w:p>
            <w:r>
              <w:t>GARCH</w:t>
            </w:r>
          </w:p>
        </w:tc>
        <w:tc>
          <w:tcPr>
            <w:tcW w:type="dxa" w:w="965"/>
          </w:tcPr>
          <w:p>
            <w:r>
              <w:t>HAR on the open-free kernel</w:t>
            </w:r>
          </w:p>
        </w:tc>
        <w:tc>
          <w:tcPr>
            <w:tcW w:type="dxa" w:w="965"/>
          </w:tcPr>
          <w:p>
            <w:r>
              <w:t>+0.35 (no significant difference)</w:t>
            </w:r>
          </w:p>
        </w:tc>
        <w:tc>
          <w:tcPr>
            <w:tcW w:type="dxa" w:w="965"/>
          </w:tcPr>
          <w:p>
            <w:r>
              <w:t>HAR on r²</w:t>
            </w:r>
          </w:p>
        </w:tc>
        <w:tc>
          <w:tcPr>
            <w:tcW w:type="dxa" w:w="965"/>
          </w:tcPr>
          <w:p>
            <w:r>
              <w:t>yes / yes / yes / yes</w:t>
            </w:r>
          </w:p>
        </w:tc>
      </w:tr>
      <w:tr>
        <w:tc>
          <w:tcPr>
            <w:tcW w:type="dxa" w:w="965"/>
          </w:tcPr>
          <w:p>
            <w:r>
              <w:t>NEPSE, regimes A2 and C</w:t>
            </w:r>
          </w:p>
        </w:tc>
        <w:tc>
          <w:tcPr>
            <w:tcW w:type="dxa" w:w="965"/>
          </w:tcPr>
          <w:p>
            <w:r>
              <w:t>21</w:t>
            </w:r>
          </w:p>
        </w:tc>
        <w:tc>
          <w:tcPr>
            <w:tcW w:type="dxa" w:w="965"/>
          </w:tcPr>
          <w:p>
            <w:r>
              <w:t>+0.16</w:t>
            </w:r>
          </w:p>
        </w:tc>
        <w:tc>
          <w:tcPr>
            <w:tcW w:type="dxa" w:w="965"/>
          </w:tcPr>
          <w:p>
            <w:r>
              <w:t>+0.02</w:t>
            </w:r>
          </w:p>
        </w:tc>
        <w:tc>
          <w:tcPr>
            <w:tcW w:type="dxa" w:w="965"/>
          </w:tcPr>
          <w:p>
            <w:r>
              <w:t>-</w:t>
            </w:r>
          </w:p>
        </w:tc>
        <w:tc>
          <w:tcPr>
            <w:tcW w:type="dxa" w:w="965"/>
          </w:tcPr>
          <w:p>
            <w:r>
              <w:t>GJR-GARCH</w:t>
            </w:r>
          </w:p>
        </w:tc>
        <w:tc>
          <w:tcPr>
            <w:tcW w:type="dxa" w:w="965"/>
          </w:tcPr>
          <w:p>
            <w:r>
              <w:t>HAR on the open-free kernel</w:t>
            </w:r>
          </w:p>
        </w:tc>
        <w:tc>
          <w:tcPr>
            <w:tcW w:type="dxa" w:w="965"/>
          </w:tcPr>
          <w:p>
            <w:r>
              <w:t>+0.06 (no significant difference)</w:t>
            </w:r>
          </w:p>
        </w:tc>
        <w:tc>
          <w:tcPr>
            <w:tcW w:type="dxa" w:w="965"/>
          </w:tcPr>
          <w:p>
            <w:r>
              <w:t>HAR on r²</w:t>
            </w:r>
          </w:p>
        </w:tc>
        <w:tc>
          <w:tcPr>
            <w:tcW w:type="dxa" w:w="965"/>
          </w:tcPr>
          <w:p>
            <w:r>
              <w:t>yes / yes / yes / yes</w:t>
            </w:r>
          </w:p>
        </w:tc>
      </w:tr>
      <w:tr>
        <w:tc>
          <w:tcPr>
            <w:tcW w:type="dxa" w:w="965"/>
          </w:tcPr>
          <w:p>
            <w:r>
              <w:t>NIFTY 50 (index)</w:t>
            </w:r>
          </w:p>
        </w:tc>
        <w:tc>
          <w:tcPr>
            <w:tcW w:type="dxa" w:w="965"/>
          </w:tcPr>
          <w:p>
            <w:r>
              <w:t>5</w:t>
            </w:r>
          </w:p>
        </w:tc>
        <w:tc>
          <w:tcPr>
            <w:tcW w:type="dxa" w:w="965"/>
          </w:tcPr>
          <w:p>
            <w:r>
              <w:t>-2.91</w:t>
            </w:r>
          </w:p>
        </w:tc>
        <w:tc>
          <w:tcPr>
            <w:tcW w:type="dxa" w:w="965"/>
          </w:tcPr>
          <w:p>
            <w:r>
              <w:t>-2.99</w:t>
            </w:r>
          </w:p>
        </w:tc>
        <w:tc>
          <w:tcPr>
            <w:tcW w:type="dxa" w:w="965"/>
          </w:tcPr>
          <w:p>
            <w:r>
              <w:t>0.009 / 0.006</w:t>
            </w:r>
          </w:p>
        </w:tc>
        <w:tc>
          <w:tcPr>
            <w:tcW w:type="dxa" w:w="965"/>
          </w:tcPr>
          <w:p>
            <w:r>
              <w:t>GJR-GARCH</w:t>
            </w:r>
          </w:p>
        </w:tc>
        <w:tc>
          <w:tcPr>
            <w:tcW w:type="dxa" w:w="965"/>
          </w:tcPr>
          <w:p>
            <w:r>
              <w:t>HAR on the open-free kernel</w:t>
            </w:r>
          </w:p>
        </w:tc>
        <w:tc>
          <w:tcPr>
            <w:tcW w:type="dxa" w:w="965"/>
          </w:tcPr>
          <w:p>
            <w:r>
              <w:t>-0.08 (no significant difference)</w:t>
            </w:r>
          </w:p>
        </w:tc>
        <w:tc>
          <w:tcPr>
            <w:tcW w:type="dxa" w:w="965"/>
          </w:tcPr>
          <w:p>
            <w:r>
              <w:t>HAR on the open-free kernel</w:t>
            </w:r>
          </w:p>
        </w:tc>
        <w:tc>
          <w:tcPr>
            <w:tcW w:type="dxa" w:w="965"/>
          </w:tcPr>
          <w:p>
            <w:r>
              <w:t>no / yes / yes / yes</w:t>
            </w:r>
          </w:p>
        </w:tc>
      </w:tr>
      <w:tr>
        <w:tc>
          <w:tcPr>
            <w:tcW w:type="dxa" w:w="965"/>
          </w:tcPr>
          <w:p>
            <w:r>
              <w:t>NIFTY 50 (index)</w:t>
            </w:r>
          </w:p>
        </w:tc>
        <w:tc>
          <w:tcPr>
            <w:tcW w:type="dxa" w:w="965"/>
          </w:tcPr>
          <w:p>
            <w:r>
              <w:t>21</w:t>
            </w:r>
          </w:p>
        </w:tc>
        <w:tc>
          <w:tcPr>
            <w:tcW w:type="dxa" w:w="965"/>
          </w:tcPr>
          <w:p>
            <w:r>
              <w:t>-0.04</w:t>
            </w:r>
          </w:p>
        </w:tc>
        <w:tc>
          <w:tcPr>
            <w:tcW w:type="dxa" w:w="965"/>
          </w:tcPr>
          <w:p>
            <w:r>
              <w:t>+0.31</w:t>
            </w:r>
          </w:p>
        </w:tc>
        <w:tc>
          <w:tcPr>
            <w:tcW w:type="dxa" w:w="965"/>
          </w:tcPr>
          <w:p>
            <w:r>
              <w:t>-</w:t>
            </w:r>
          </w:p>
        </w:tc>
        <w:tc>
          <w:tcPr>
            <w:tcW w:type="dxa" w:w="965"/>
          </w:tcPr>
          <w:p>
            <w:r>
              <w:t>GJR-GARCH</w:t>
            </w:r>
          </w:p>
        </w:tc>
        <w:tc>
          <w:tcPr>
            <w:tcW w:type="dxa" w:w="965"/>
          </w:tcPr>
          <w:p>
            <w:r>
              <w:t>HAR on the open-free kernel</w:t>
            </w:r>
          </w:p>
        </w:tc>
        <w:tc>
          <w:tcPr>
            <w:tcW w:type="dxa" w:w="965"/>
          </w:tcPr>
          <w:p>
            <w:r>
              <w:t>-1.75 (no significant difference)</w:t>
            </w:r>
          </w:p>
        </w:tc>
        <w:tc>
          <w:tcPr>
            <w:tcW w:type="dxa" w:w="965"/>
          </w:tcPr>
          <w:p>
            <w:r>
              <w:t>HAR on the open-free kernel</w:t>
            </w:r>
          </w:p>
        </w:tc>
        <w:tc>
          <w:tcPr>
            <w:tcW w:type="dxa" w:w="965"/>
          </w:tcPr>
          <w:p>
            <w:r>
              <w:t>yes / yes / yes / yes</w:t>
            </w:r>
          </w:p>
        </w:tc>
      </w:tr>
      <w:tr>
        <w:tc>
          <w:tcPr>
            <w:tcW w:type="dxa" w:w="965"/>
          </w:tcPr>
          <w:p>
            <w:r>
              <w:t>S&amp;P 500 (index)</w:t>
            </w:r>
          </w:p>
        </w:tc>
        <w:tc>
          <w:tcPr>
            <w:tcW w:type="dxa" w:w="965"/>
          </w:tcPr>
          <w:p>
            <w:r>
              <w:t>5</w:t>
            </w:r>
          </w:p>
        </w:tc>
        <w:tc>
          <w:tcPr>
            <w:tcW w:type="dxa" w:w="965"/>
          </w:tcPr>
          <w:p>
            <w:r>
              <w:t>-6.08</w:t>
            </w:r>
          </w:p>
        </w:tc>
        <w:tc>
          <w:tcPr>
            <w:tcW w:type="dxa" w:w="965"/>
          </w:tcPr>
          <w:p>
            <w:r>
              <w:t>-6.65</w:t>
            </w:r>
          </w:p>
        </w:tc>
        <w:tc>
          <w:tcPr>
            <w:tcW w:type="dxa" w:w="965"/>
          </w:tcPr>
          <w:p>
            <w:r>
              <w:t>0.000 / 0.000</w:t>
            </w:r>
          </w:p>
        </w:tc>
        <w:tc>
          <w:tcPr>
            <w:tcW w:type="dxa" w:w="965"/>
          </w:tcPr>
          <w:p>
            <w:r>
              <w:t>GJR-GARCH</w:t>
            </w:r>
          </w:p>
        </w:tc>
        <w:tc>
          <w:tcPr>
            <w:tcW w:type="dxa" w:w="965"/>
          </w:tcPr>
          <w:p>
            <w:r>
              <w:t>HAR on the open-free kernel</w:t>
            </w:r>
          </w:p>
        </w:tc>
        <w:tc>
          <w:tcPr>
            <w:tcW w:type="dxa" w:w="965"/>
          </w:tcPr>
          <w:p>
            <w:r>
              <w:t>-1.18 (no significant difference)</w:t>
            </w:r>
          </w:p>
        </w:tc>
        <w:tc>
          <w:tcPr>
            <w:tcW w:type="dxa" w:w="965"/>
          </w:tcPr>
          <w:p>
            <w:r>
              <w:t>true-range Parkinson</w:t>
            </w:r>
          </w:p>
        </w:tc>
        <w:tc>
          <w:tcPr>
            <w:tcW w:type="dxa" w:w="965"/>
          </w:tcPr>
          <w:p>
            <w:r>
              <w:t>no / yes / yes / yes</w:t>
            </w:r>
          </w:p>
        </w:tc>
      </w:tr>
      <w:tr>
        <w:tc>
          <w:tcPr>
            <w:tcW w:type="dxa" w:w="965"/>
          </w:tcPr>
          <w:p>
            <w:r>
              <w:t>S&amp;P 500 (index)</w:t>
            </w:r>
          </w:p>
        </w:tc>
        <w:tc>
          <w:tcPr>
            <w:tcW w:type="dxa" w:w="965"/>
          </w:tcPr>
          <w:p>
            <w:r>
              <w:t>21</w:t>
            </w:r>
          </w:p>
        </w:tc>
        <w:tc>
          <w:tcPr>
            <w:tcW w:type="dxa" w:w="965"/>
          </w:tcPr>
          <w:p>
            <w:r>
              <w:t>-0.18</w:t>
            </w:r>
          </w:p>
        </w:tc>
        <w:tc>
          <w:tcPr>
            <w:tcW w:type="dxa" w:w="965"/>
          </w:tcPr>
          <w:p>
            <w:r>
              <w:t>-0.09</w:t>
            </w:r>
          </w:p>
        </w:tc>
        <w:tc>
          <w:tcPr>
            <w:tcW w:type="dxa" w:w="965"/>
          </w:tcPr>
          <w:p>
            <w:r>
              <w:t>-</w:t>
            </w:r>
          </w:p>
        </w:tc>
        <w:tc>
          <w:tcPr>
            <w:tcW w:type="dxa" w:w="965"/>
          </w:tcPr>
          <w:p>
            <w:r>
              <w:t>GJR-GARCH</w:t>
            </w:r>
          </w:p>
        </w:tc>
        <w:tc>
          <w:tcPr>
            <w:tcW w:type="dxa" w:w="965"/>
          </w:tcPr>
          <w:p>
            <w:r>
              <w:t>HAR on the open-free kernel</w:t>
            </w:r>
          </w:p>
        </w:tc>
        <w:tc>
          <w:tcPr>
            <w:tcW w:type="dxa" w:w="965"/>
          </w:tcPr>
          <w:p>
            <w:r>
              <w:t>-1.21 (no significant difference)</w:t>
            </w:r>
          </w:p>
        </w:tc>
        <w:tc>
          <w:tcPr>
            <w:tcW w:type="dxa" w:w="965"/>
          </w:tcPr>
          <w:p>
            <w:r>
              <w:t>HAR on the open-free kernel</w:t>
            </w:r>
          </w:p>
        </w:tc>
        <w:tc>
          <w:tcPr>
            <w:tcW w:type="dxa" w:w="965"/>
          </w:tcPr>
          <w:p>
            <w:r>
              <w:t>yes / yes / yes / yes</w:t>
            </w:r>
          </w:p>
        </w:tc>
      </w:tr>
      <w:tr>
        <w:tc>
          <w:tcPr>
            <w:tcW w:type="dxa" w:w="965"/>
          </w:tcPr>
          <w:p>
            <w:r>
              <w:t>Dhaka 2023-2026</w:t>
            </w:r>
          </w:p>
        </w:tc>
        <w:tc>
          <w:tcPr>
            <w:tcW w:type="dxa" w:w="965"/>
          </w:tcPr>
          <w:p>
            <w:r>
              <w:t>5</w:t>
            </w:r>
          </w:p>
        </w:tc>
        <w:tc>
          <w:tcPr>
            <w:tcW w:type="dxa" w:w="965"/>
          </w:tcPr>
          <w:p>
            <w:r>
              <w:t>+1.45</w:t>
            </w:r>
          </w:p>
        </w:tc>
        <w:tc>
          <w:tcPr>
            <w:tcW w:type="dxa" w:w="965"/>
          </w:tcPr>
          <w:p>
            <w:r>
              <w:t>-2.56</w:t>
            </w:r>
          </w:p>
        </w:tc>
        <w:tc>
          <w:tcPr>
            <w:tcW w:type="dxa" w:w="965"/>
          </w:tcPr>
          <w:p>
            <w:r>
              <w:t>1.000 / 0.013</w:t>
            </w:r>
          </w:p>
        </w:tc>
        <w:tc>
          <w:tcPr>
            <w:tcW w:type="dxa" w:w="965"/>
          </w:tcPr>
          <w:p>
            <w:r>
              <w:t>GJR-GARCH</w:t>
            </w:r>
          </w:p>
        </w:tc>
        <w:tc>
          <w:tcPr>
            <w:tcW w:type="dxa" w:w="965"/>
          </w:tcPr>
          <w:p>
            <w:r>
              <w:t>HAR on the open-free kernel</w:t>
            </w:r>
          </w:p>
        </w:tc>
        <w:tc>
          <w:tcPr>
            <w:tcW w:type="dxa" w:w="965"/>
          </w:tcPr>
          <w:p>
            <w:r>
              <w:t>+2.66 (returns suffice)</w:t>
            </w:r>
          </w:p>
        </w:tc>
        <w:tc>
          <w:tcPr>
            <w:tcW w:type="dxa" w:w="965"/>
          </w:tcPr>
          <w:p>
            <w:r>
              <w:t>GJR-GARCH</w:t>
            </w:r>
          </w:p>
        </w:tc>
        <w:tc>
          <w:tcPr>
            <w:tcW w:type="dxa" w:w="965"/>
          </w:tcPr>
          <w:p>
            <w:r>
              <w:t>no / no / no / yes</w:t>
            </w:r>
          </w:p>
        </w:tc>
      </w:tr>
      <w:tr>
        <w:tc>
          <w:tcPr>
            <w:tcW w:type="dxa" w:w="965"/>
          </w:tcPr>
          <w:p>
            <w:r>
              <w:t>Dhaka 2023-2026</w:t>
            </w:r>
          </w:p>
        </w:tc>
        <w:tc>
          <w:tcPr>
            <w:tcW w:type="dxa" w:w="965"/>
          </w:tcPr>
          <w:p>
            <w:r>
              <w:t>21</w:t>
            </w:r>
          </w:p>
        </w:tc>
        <w:tc>
          <w:tcPr>
            <w:tcW w:type="dxa" w:w="965"/>
          </w:tcPr>
          <w:p>
            <w:r>
              <w:t>-0.60</w:t>
            </w:r>
          </w:p>
        </w:tc>
        <w:tc>
          <w:tcPr>
            <w:tcW w:type="dxa" w:w="965"/>
          </w:tcPr>
          <w:p>
            <w:r>
              <w:t>-1.99</w:t>
            </w:r>
          </w:p>
        </w:tc>
        <w:tc>
          <w:tcPr>
            <w:tcW w:type="dxa" w:w="965"/>
          </w:tcPr>
          <w:p>
            <w:r>
              <w:t>-</w:t>
            </w:r>
          </w:p>
        </w:tc>
        <w:tc>
          <w:tcPr>
            <w:tcW w:type="dxa" w:w="965"/>
          </w:tcPr>
          <w:p>
            <w:r>
              <w:t>GJR-GARCH</w:t>
            </w:r>
          </w:p>
        </w:tc>
        <w:tc>
          <w:tcPr>
            <w:tcW w:type="dxa" w:w="965"/>
          </w:tcPr>
          <w:p>
            <w:r>
              <w:t>Yang-Zhang (daily form)</w:t>
            </w:r>
          </w:p>
        </w:tc>
        <w:tc>
          <w:tcPr>
            <w:tcW w:type="dxa" w:w="965"/>
          </w:tcPr>
          <w:p>
            <w:r>
              <w:t>+3.63 (returns suffice)</w:t>
            </w:r>
          </w:p>
        </w:tc>
        <w:tc>
          <w:tcPr>
            <w:tcW w:type="dxa" w:w="965"/>
          </w:tcPr>
          <w:p>
            <w:r>
              <w:t>HAR on the open-free kernel</w:t>
            </w:r>
          </w:p>
        </w:tc>
        <w:tc>
          <w:tcPr>
            <w:tcW w:type="dxa" w:w="965"/>
          </w:tcPr>
          <w:p>
            <w:r>
              <w:t>no / no / yes / yes</w:t>
            </w:r>
          </w:p>
        </w:tc>
      </w:tr>
      <w:tr>
        <w:tc>
          <w:tcPr>
            <w:tcW w:type="dxa" w:w="965"/>
          </w:tcPr>
          <w:p>
            <w:r>
              <w:t>Vietnam 2007-2020</w:t>
            </w:r>
          </w:p>
        </w:tc>
        <w:tc>
          <w:tcPr>
            <w:tcW w:type="dxa" w:w="965"/>
          </w:tcPr>
          <w:p>
            <w:r>
              <w:t>5</w:t>
            </w:r>
          </w:p>
        </w:tc>
        <w:tc>
          <w:tcPr>
            <w:tcW w:type="dxa" w:w="965"/>
          </w:tcPr>
          <w:p>
            <w:r>
              <w:t>-0.86</w:t>
            </w:r>
          </w:p>
        </w:tc>
        <w:tc>
          <w:tcPr>
            <w:tcW w:type="dxa" w:w="965"/>
          </w:tcPr>
          <w:p>
            <w:r>
              <w:t>-3.94</w:t>
            </w:r>
          </w:p>
        </w:tc>
        <w:tc>
          <w:tcPr>
            <w:tcW w:type="dxa" w:w="965"/>
          </w:tcPr>
          <w:p>
            <w:r>
              <w:t>0.785 / 0.000</w:t>
            </w:r>
          </w:p>
        </w:tc>
        <w:tc>
          <w:tcPr>
            <w:tcW w:type="dxa" w:w="965"/>
          </w:tcPr>
          <w:p>
            <w:r>
              <w:t>GARCH</w:t>
            </w:r>
          </w:p>
        </w:tc>
        <w:tc>
          <w:tcPr>
            <w:tcW w:type="dxa" w:w="965"/>
          </w:tcPr>
          <w:p>
            <w:r>
              <w:t>HAR on the open-free kernel</w:t>
            </w:r>
          </w:p>
        </w:tc>
        <w:tc>
          <w:tcPr>
            <w:tcW w:type="dxa" w:w="965"/>
          </w:tcPr>
          <w:p>
            <w:r>
              <w:t>-1.51 (no significant difference)</w:t>
            </w:r>
          </w:p>
        </w:tc>
        <w:tc>
          <w:tcPr>
            <w:tcW w:type="dxa" w:w="965"/>
          </w:tcPr>
          <w:p>
            <w:r>
              <w:t>HAR on the open-free kernel</w:t>
            </w:r>
          </w:p>
        </w:tc>
        <w:tc>
          <w:tcPr>
            <w:tcW w:type="dxa" w:w="965"/>
          </w:tcPr>
          <w:p>
            <w:r>
              <w:t>no / no / no / yes</w:t>
            </w:r>
          </w:p>
        </w:tc>
      </w:tr>
      <w:tr>
        <w:tc>
          <w:tcPr>
            <w:tcW w:type="dxa" w:w="965"/>
          </w:tcPr>
          <w:p>
            <w:r>
              <w:t>Vietnam 2007-2020</w:t>
            </w:r>
          </w:p>
        </w:tc>
        <w:tc>
          <w:tcPr>
            <w:tcW w:type="dxa" w:w="965"/>
          </w:tcPr>
          <w:p>
            <w:r>
              <w:t>21</w:t>
            </w:r>
          </w:p>
        </w:tc>
        <w:tc>
          <w:tcPr>
            <w:tcW w:type="dxa" w:w="965"/>
          </w:tcPr>
          <w:p>
            <w:r>
              <w:t>+1.64</w:t>
            </w:r>
          </w:p>
        </w:tc>
        <w:tc>
          <w:tcPr>
            <w:tcW w:type="dxa" w:w="965"/>
          </w:tcPr>
          <w:p>
            <w:r>
              <w:t>-0.63</w:t>
            </w:r>
          </w:p>
        </w:tc>
        <w:tc>
          <w:tcPr>
            <w:tcW w:type="dxa" w:w="965"/>
          </w:tcPr>
          <w:p>
            <w:r>
              <w:t>-</w:t>
            </w:r>
          </w:p>
        </w:tc>
        <w:tc>
          <w:tcPr>
            <w:tcW w:type="dxa" w:w="965"/>
          </w:tcPr>
          <w:p>
            <w:r>
              <w:t>GARCH</w:t>
            </w:r>
          </w:p>
        </w:tc>
        <w:tc>
          <w:tcPr>
            <w:tcW w:type="dxa" w:w="965"/>
          </w:tcPr>
          <w:p>
            <w:r>
              <w:t>HAR on the open-free kernel</w:t>
            </w:r>
          </w:p>
        </w:tc>
        <w:tc>
          <w:tcPr>
            <w:tcW w:type="dxa" w:w="965"/>
          </w:tcPr>
          <w:p>
            <w:r>
              <w:t>-1.19 (no significant difference)</w:t>
            </w:r>
          </w:p>
        </w:tc>
        <w:tc>
          <w:tcPr>
            <w:tcW w:type="dxa" w:w="965"/>
          </w:tcPr>
          <w:p>
            <w:r>
              <w:t>HAR on the open-free kernel</w:t>
            </w:r>
          </w:p>
        </w:tc>
        <w:tc>
          <w:tcPr>
            <w:tcW w:type="dxa" w:w="965"/>
          </w:tcPr>
          <w:p>
            <w:r>
              <w:t>no / no / yes / yes</w:t>
            </w:r>
          </w:p>
        </w:tc>
      </w:tr>
      <w:tr>
        <w:tc>
          <w:tcPr>
            <w:tcW w:type="dxa" w:w="965"/>
          </w:tcPr>
          <w:p>
            <w:r>
              <w:t>Dhaka 2009-2021 (dates repaired)</w:t>
            </w:r>
          </w:p>
        </w:tc>
        <w:tc>
          <w:tcPr>
            <w:tcW w:type="dxa" w:w="965"/>
          </w:tcPr>
          <w:p>
            <w:r>
              <w:t>5</w:t>
            </w:r>
          </w:p>
        </w:tc>
        <w:tc>
          <w:tcPr>
            <w:tcW w:type="dxa" w:w="965"/>
          </w:tcPr>
          <w:p>
            <w:r>
              <w:t>-6.52</w:t>
            </w:r>
          </w:p>
        </w:tc>
        <w:tc>
          <w:tcPr>
            <w:tcW w:type="dxa" w:w="965"/>
          </w:tcPr>
          <w:p>
            <w:r>
              <w:t>-8.02</w:t>
            </w:r>
          </w:p>
        </w:tc>
        <w:tc>
          <w:tcPr>
            <w:tcW w:type="dxa" w:w="965"/>
          </w:tcPr>
          <w:p>
            <w:r>
              <w:t>0.000 / 0.000</w:t>
            </w:r>
          </w:p>
        </w:tc>
        <w:tc>
          <w:tcPr>
            <w:tcW w:type="dxa" w:w="965"/>
          </w:tcPr>
          <w:p>
            <w:r>
              <w:t>GJR-GARCH</w:t>
            </w:r>
          </w:p>
        </w:tc>
        <w:tc>
          <w:tcPr>
            <w:tcW w:type="dxa" w:w="965"/>
          </w:tcPr>
          <w:p>
            <w:r>
              <w:t>HAR on the open-free kernel</w:t>
            </w:r>
          </w:p>
        </w:tc>
        <w:tc>
          <w:tcPr>
            <w:tcW w:type="dxa" w:w="965"/>
          </w:tcPr>
          <w:p>
            <w:r>
              <w:t>-6.31 (range adds information)</w:t>
            </w:r>
          </w:p>
        </w:tc>
        <w:tc>
          <w:tcPr>
            <w:tcW w:type="dxa" w:w="965"/>
          </w:tcPr>
          <w:p>
            <w:r>
              <w:t>HAR on the open-free kernel</w:t>
            </w:r>
          </w:p>
        </w:tc>
        <w:tc>
          <w:tcPr>
            <w:tcW w:type="dxa" w:w="965"/>
          </w:tcPr>
          <w:p>
            <w:r>
              <w:t>yes / yes / yes / yes</w:t>
            </w:r>
          </w:p>
        </w:tc>
      </w:tr>
      <w:tr>
        <w:tc>
          <w:tcPr>
            <w:tcW w:type="dxa" w:w="965"/>
          </w:tcPr>
          <w:p>
            <w:r>
              <w:t>Dhaka 2009-2021 (dates repaired)</w:t>
            </w:r>
          </w:p>
        </w:tc>
        <w:tc>
          <w:tcPr>
            <w:tcW w:type="dxa" w:w="965"/>
          </w:tcPr>
          <w:p>
            <w:r>
              <w:t>21</w:t>
            </w:r>
          </w:p>
        </w:tc>
        <w:tc>
          <w:tcPr>
            <w:tcW w:type="dxa" w:w="965"/>
          </w:tcPr>
          <w:p>
            <w:r>
              <w:t>-2.45</w:t>
            </w:r>
          </w:p>
        </w:tc>
        <w:tc>
          <w:tcPr>
            <w:tcW w:type="dxa" w:w="965"/>
          </w:tcPr>
          <w:p>
            <w:r>
              <w:t>-3.04</w:t>
            </w:r>
          </w:p>
        </w:tc>
        <w:tc>
          <w:tcPr>
            <w:tcW w:type="dxa" w:w="965"/>
          </w:tcPr>
          <w:p>
            <w:r>
              <w:t>-</w:t>
            </w:r>
          </w:p>
        </w:tc>
        <w:tc>
          <w:tcPr>
            <w:tcW w:type="dxa" w:w="965"/>
          </w:tcPr>
          <w:p>
            <w:r>
              <w:t>GJR-GARCH</w:t>
            </w:r>
          </w:p>
        </w:tc>
        <w:tc>
          <w:tcPr>
            <w:tcW w:type="dxa" w:w="965"/>
          </w:tcPr>
          <w:p>
            <w:r>
              <w:t>HAR on the open-free kernel</w:t>
            </w:r>
          </w:p>
        </w:tc>
        <w:tc>
          <w:tcPr>
            <w:tcW w:type="dxa" w:w="965"/>
          </w:tcPr>
          <w:p>
            <w:r>
              <w:t>-3.14 (range adds information)</w:t>
            </w:r>
          </w:p>
        </w:tc>
        <w:tc>
          <w:tcPr>
            <w:tcW w:type="dxa" w:w="965"/>
          </w:tcPr>
          <w:p>
            <w:r>
              <w:t>HAR on the open-free kernel</w:t>
            </w:r>
          </w:p>
        </w:tc>
        <w:tc>
          <w:tcPr>
            <w:tcW w:type="dxa" w:w="965"/>
          </w:tcPr>
          <w:p>
            <w:r>
              <w:t>yes / yes / yes / yes</w:t>
            </w:r>
          </w:p>
        </w:tc>
      </w:tr>
      <w:tr>
        <w:tc>
          <w:tcPr>
            <w:tcW w:type="dxa" w:w="965"/>
          </w:tcPr>
          <w:p>
            <w:r>
              <w:t>Morocco 2012-2026</w:t>
            </w:r>
          </w:p>
        </w:tc>
        <w:tc>
          <w:tcPr>
            <w:tcW w:type="dxa" w:w="965"/>
          </w:tcPr>
          <w:p>
            <w:r>
              <w:t>5</w:t>
            </w:r>
          </w:p>
        </w:tc>
        <w:tc>
          <w:tcPr>
            <w:tcW w:type="dxa" w:w="965"/>
          </w:tcPr>
          <w:p>
            <w:r>
              <w:t>-0.53</w:t>
            </w:r>
          </w:p>
        </w:tc>
        <w:tc>
          <w:tcPr>
            <w:tcW w:type="dxa" w:w="965"/>
          </w:tcPr>
          <w:p>
            <w:r>
              <w:t>-2.62</w:t>
            </w:r>
          </w:p>
        </w:tc>
        <w:tc>
          <w:tcPr>
            <w:tcW w:type="dxa" w:w="965"/>
          </w:tcPr>
          <w:p>
            <w:r>
              <w:t>0.890 / 0.013</w:t>
            </w:r>
          </w:p>
        </w:tc>
        <w:tc>
          <w:tcPr>
            <w:tcW w:type="dxa" w:w="965"/>
          </w:tcPr>
          <w:p>
            <w:r>
              <w:t>HAR on r²</w:t>
            </w:r>
          </w:p>
        </w:tc>
        <w:tc>
          <w:tcPr>
            <w:tcW w:type="dxa" w:w="965"/>
          </w:tcPr>
          <w:p>
            <w:r>
              <w:t>HAR on the open-free kernel</w:t>
            </w:r>
          </w:p>
        </w:tc>
        <w:tc>
          <w:tcPr>
            <w:tcW w:type="dxa" w:w="965"/>
          </w:tcPr>
          <w:p>
            <w:r>
              <w:t>-2.30 (range adds information)</w:t>
            </w:r>
          </w:p>
        </w:tc>
        <w:tc>
          <w:tcPr>
            <w:tcW w:type="dxa" w:w="965"/>
          </w:tcPr>
          <w:p>
            <w:r>
              <w:t>HAR on the open-free kernel</w:t>
            </w:r>
          </w:p>
        </w:tc>
        <w:tc>
          <w:tcPr>
            <w:tcW w:type="dxa" w:w="965"/>
          </w:tcPr>
          <w:p>
            <w:r>
              <w:t>no / no / yes / yes</w:t>
            </w:r>
          </w:p>
        </w:tc>
      </w:tr>
      <w:tr>
        <w:tc>
          <w:tcPr>
            <w:tcW w:type="dxa" w:w="965"/>
          </w:tcPr>
          <w:p>
            <w:r>
              <w:t>Morocco 2012-2026</w:t>
            </w:r>
          </w:p>
        </w:tc>
        <w:tc>
          <w:tcPr>
            <w:tcW w:type="dxa" w:w="965"/>
          </w:tcPr>
          <w:p>
            <w:r>
              <w:t>21</w:t>
            </w:r>
          </w:p>
        </w:tc>
        <w:tc>
          <w:tcPr>
            <w:tcW w:type="dxa" w:w="965"/>
          </w:tcPr>
          <w:p>
            <w:r>
              <w:t>-2.03</w:t>
            </w:r>
          </w:p>
        </w:tc>
        <w:tc>
          <w:tcPr>
            <w:tcW w:type="dxa" w:w="965"/>
          </w:tcPr>
          <w:p>
            <w:r>
              <w:t>-2.61</w:t>
            </w:r>
          </w:p>
        </w:tc>
        <w:tc>
          <w:tcPr>
            <w:tcW w:type="dxa" w:w="965"/>
          </w:tcPr>
          <w:p>
            <w:r>
              <w:t>-</w:t>
            </w:r>
          </w:p>
        </w:tc>
        <w:tc>
          <w:tcPr>
            <w:tcW w:type="dxa" w:w="965"/>
          </w:tcPr>
          <w:p>
            <w:r>
              <w:t>GARCH</w:t>
            </w:r>
          </w:p>
        </w:tc>
        <w:tc>
          <w:tcPr>
            <w:tcW w:type="dxa" w:w="965"/>
          </w:tcPr>
          <w:p>
            <w:r>
              <w:t>HAR on the open-free kernel</w:t>
            </w:r>
          </w:p>
        </w:tc>
        <w:tc>
          <w:tcPr>
            <w:tcW w:type="dxa" w:w="965"/>
          </w:tcPr>
          <w:p>
            <w:r>
              <w:t>-2.72 (range adds information)</w:t>
            </w:r>
          </w:p>
        </w:tc>
        <w:tc>
          <w:tcPr>
            <w:tcW w:type="dxa" w:w="965"/>
          </w:tcPr>
          <w:p>
            <w:r>
              <w:t>HAR on the open-free kernel</w:t>
            </w:r>
          </w:p>
        </w:tc>
        <w:tc>
          <w:tcPr>
            <w:tcW w:type="dxa" w:w="965"/>
          </w:tcPr>
          <w:p>
            <w:r>
              <w:t>no / yes / yes / yes</w:t>
            </w:r>
          </w:p>
        </w:tc>
      </w:tr>
    </w:tbl>
    <w:p/>
    <w:p/>
    <w:p/>
    <w:p/>
    <w:p/>
    <w:p/>
    <w:p/>
    <w:p/>
    <w:p/>
    <w:p>
      <w:pPr>
        <w:pStyle w:val="Heading1"/>
      </w:pPr>
      <w:r>
        <w:t>7. A Practical Volatility Protocol for Nepal</w:t>
      </w:r>
    </w:p>
    <w:p>
      <w:r>
        <w:t>The empirical evidence supports a simple but disciplined protocol for researchers, portfolio managers, and risk analysts who need a volatility measure for NEPSE securities without options.</w:t>
      </w:r>
    </w:p>
    <w:p>
      <w:pPr>
        <w:pStyle w:val="ListBullet"/>
        <w:spacing w:after="60"/>
        <w:ind w:left="360" w:hanging="216"/>
      </w:pPr>
      <w:r>
        <w:t>Define the target first. If the objective is within-session volatility, use an OHLC estimator and compare it to open-to-close variation. If the objective is total daily risk, include overnight variation through Yang-Zhang or a close-to-close component.</w:t>
      </w:r>
    </w:p>
    <w:p>
      <w:pPr>
        <w:pStyle w:val="ListBullet"/>
        <w:spacing w:after="60"/>
        <w:ind w:left="360" w:hanging="216"/>
      </w:pPr>
      <w:r>
        <w:t>Restrict the universe to the intended asset class. For equity research, classify and retain ordinary equities before ranking securities by liquidity. Do not let debentures, funds, or restricted promoter shares define the 'thin stock' bucket.</w:t>
      </w:r>
    </w:p>
    <w:p>
      <w:pPr>
        <w:pStyle w:val="ListBullet"/>
        <w:spacing w:after="60"/>
        <w:ind w:left="360" w:hanging="216"/>
      </w:pPr>
      <w:r>
        <w:t>Validate every OHLC bar. Require L &lt;= min(O,C) &lt;= max(O,C) &lt;= H. Treat negative simplified Garman-Klass or Rogers-Satchell values on invalid bars as data problems, not market phenomena.</w:t>
      </w:r>
    </w:p>
    <w:p>
      <w:pPr>
        <w:pStyle w:val="ListBullet"/>
        <w:spacing w:after="60"/>
        <w:ind w:left="360" w:hanging="216"/>
      </w:pPr>
      <w:r>
        <w:t>Use the genuine trading-session calendar. Previous close means the previous session, not the previous calendar day. Annualization should use the market's actual session count rather than importing 252 automatically.</w:t>
      </w:r>
    </w:p>
    <w:p>
      <w:pPr>
        <w:pStyle w:val="ListBullet"/>
        <w:spacing w:after="60"/>
        <w:ind w:left="360" w:hanging="216"/>
      </w:pPr>
      <w:r>
        <w:t>Compute at least two estimators. A practical pair is close-to-close volatility plus a range measure such as Parkinson or Rogers-Satchell. Agreement provides reassurance; disagreement is a diagnostic to investigate.</w:t>
      </w:r>
    </w:p>
    <w:p>
      <w:pPr>
        <w:pStyle w:val="ListBullet"/>
        <w:spacing w:after="60"/>
        <w:ind w:left="360" w:hanging="216"/>
      </w:pPr>
      <w:r>
        <w:t>Diagnose the open before trusting any estimator that reads it. Report the unbiasedness coefficient b = E[o r]/E[o²] of the open for the close, by market-rule regime and from security-level returns, since a market average can hide the error. In NEPSE it lies between 0.130 and 0.356; on the NIFTY 50 index it is 0.929. Where b is well below one, the open-to-close proxy, Garman-Klass, Rogers-Satchell and Yang-Zhang all carry the open's transient error, and close-to-close variance is the benchmark.</w:t>
      </w:r>
    </w:p>
    <w:p>
      <w:pPr>
        <w:pStyle w:val="ListBullet"/>
        <w:spacing w:after="60"/>
        <w:ind w:left="360" w:hanging="216"/>
      </w:pPr>
      <w:r>
        <w:t>Treat a change in opening rules as a break. NEPSE's band widening moved every open-based quantity in this paper (Section 6.7); a volatility series that spans such a change should be split at it or built from close-to-close returns.</w:t>
      </w:r>
    </w:p>
    <w:p>
      <w:pPr>
        <w:pStyle w:val="ListBullet"/>
        <w:spacing w:after="60"/>
        <w:ind w:left="360" w:hanging="216"/>
      </w:pPr>
      <w:r>
        <w:t>In NEPSE neither form of Anam's estimator (Section 6.8) beat close-to-close out of sample, and close-to-close beat both after the reform, so close-to-close remains the primary measure here. Where a range-based measure is wanted beside it, use the estimator's open-free form where the open's unbiasedness coefficient is well below one, as in every frontier market examined here; its level is on the close-to-close scale by construction of its calibration. For forecasting, give it HAR-type dynamics and report a GARCH-type forecast of returns beside it, which the corrected evaluation found about as accurate in most samples. After a change in market rules, rely on close-to-close until the calibration window has passed the change.</w:t>
      </w:r>
    </w:p>
    <w:p>
      <w:pPr>
        <w:pStyle w:val="ListBullet"/>
        <w:spacing w:after="60"/>
        <w:ind w:left="360" w:hanging="216"/>
      </w:pPr>
      <w:r>
        <w:t>Flag H = L, zero returns, and low trade counts. These rates should be reported by liquidity group because they reveal where the data cease to describe the latent price path well.</w:t>
      </w:r>
    </w:p>
    <w:p>
      <w:pPr>
        <w:pStyle w:val="ListBullet"/>
        <w:spacing w:after="60"/>
        <w:ind w:left="360" w:hanging="216"/>
      </w:pPr>
      <w:r>
        <w:t>Do not add a bias correction until the bias premise is supported in the target sample. A correction should be validated against a matched benchmark and, when possible, in a liquid external market.</w:t>
      </w:r>
    </w:p>
    <w:p>
      <w:pPr>
        <w:pStyle w:val="ListBullet"/>
        <w:spacing w:after="60"/>
        <w:ind w:left="360" w:hanging="216"/>
      </w:pPr>
      <w:r>
        <w:t>For forecasting, separate measurement from prediction. Use the resulting daily or rolling volatility series as an input to HAR, GARCH, CARR-style, or other forecasting models rather than calling the historical measure 'implied volatility.'</w:t>
      </w:r>
    </w:p>
    <w:p>
      <w:pPr>
        <w:pStyle w:val="Heading2"/>
      </w:pPr>
      <w:r>
        <w:t>7.1 Recommended reporting formula</w:t>
      </w:r>
    </w:p>
    <w:p>
      <w:r>
        <w:t>For a 21-session risk measure the annualized rolling form below applies to any daily variance estimator. In NEPSE, where the opening price is mostly transient (Section 6.7), the primary specification should be close-to-close variance, which never reads the open, with Parkinson or Rogers-Satchell reported beside it as a cross-check; where the open is close to unbiased, the range estimators' efficiency makes them the natural primary:</w:t>
      </w:r>
    </w:p>
    <w:p>
      <w:pPr>
        <w:spacing w:before="60" w:after="120"/>
        <w:jc w:val="center"/>
      </w:pPr>
      <w:r>
        <w:rPr>
          <w:rFonts w:ascii="Cambria Math" w:hAnsi="Cambria Math"/>
          <w:sz w:val="22"/>
        </w:rPr>
        <w:t>σ̂₂₁,ₜ = √[ A × (1/21) × ∑ⱼ₌₀²⁰ v̂ₜ₋ⱼ ]</w:t>
      </w:r>
    </w:p>
    <w:p>
      <w:r>
        <w:t>where v̂ is the chosen daily variance estimator and A is the market's own annual session count rather than an imported convention. For NEPSE over the study window the detected trading calendar yields A ≈ 229.6 genuine sessions per year (569 sessions over 2.48 years), against the 252 a developed-market default would impose; annualising with 252 instead would inflate variance by 9.7% and volatility by 4.8%. This is a SAMPLE-PERIOD OBSERVED RATE, not a NEPSE convention, and it spans the April 2026 trading-week reform. We do not quote a regime-specific factor. The post-reform Monday-Friday window contains only 99 sessions over 0.39 of a year, so annualising it (255/year, against 225/year pre-reform) extrapolates from a partial year; and because both regimes schedule five sessions per week, the reform cannot by itself change the annual session count — the difference reflects the holiday composition of that short window rather than the trading week. A usable regime-specific factor requires a complete observed year or an official weekday-plus-holiday projection. The report should show close-to-close volatility beside the range measure, disclose the security's median trade count and zero-range rate, and report the unbiasedness coefficient of the open, so a reader can see the conditions under which the number was produced. Anam's estimator fits the same form, with v̂ₜ₋ⱼ = κₜAₜ₋ⱼ, the calibration of the window's last session applied to every session in it, and needs no further adjustment of level, because κₜ already sets it on the close-to-close scale of its trailing 60 dates; after a change in market rules that scale lags (Section 6.8).</w:t>
      </w:r>
    </w:p>
    <w:p>
      <w:pPr>
        <w:pStyle w:val="Heading2"/>
      </w:pPr>
      <w:r>
        <w:t>7.2 Choosing an estimator: a conditional framework</w:t>
      </w:r>
    </w:p>
    <w:p>
      <w:r>
        <w:t>The evidence in this project does not support a single ranking, and the choice should follow the risk object rather than a general ordering. Against the matched open-to-close proxy on the full ordinary-equity sample (Table 7), Parkinson (1.001) and Garman-Klass (1.001) sit closest to the proxy, with Rogers-Satchell slightly above it (1.037); the differences are small, and under a bootstrap that clusters on both security and calendar date the intervals for Parkinson [0.986, 1.016] and Garman-Klass [0.981, 1.022] fall inside the paper's stated (post hoc) +/-5% equivalence margin while Rogers-Satchell's [1.013, 1.062] is inconclusive at that margin, and becomes inconclusive rather than distinguishable once calendar-date dependence is modelled with a stationary block bootstrap instead of an i.i.d. one (Table 15). Proximity to a proxy is one criterion; it is not the only one, and Sections 6.1-6.7 state no formal loss function, so they cannot produce a universal ordering, in the same spirit as the criterion-dependent forecast comparisons of Hansen, Lunde and Nason (2011). Rogers-Satchell remains attractive where drift robustness is valuable and is the natural primary when the maintained model is a drifting price process. Parkinson is the simplest cross-check and the most efficient use of the range where the high and low are reliable. Garman-Klass is now evaluated empirically rather than used only as a data-validity diagnostic. Where the overnight component belongs in the risk object, close-to-close is the transparent baseline; Yang-Zhang should be used with the caveat that, evaluated on a proxy matched to its own rows AND its own 21-session horizon, and on the previous close adjusted for the corporate actions identified in Section 4.5, it stands at 1.280 [1.258, 1.303] of that proxy on 135,899 matched stock-days (Table 12) — clearly outside the equivalence margin, and slightly lower than the 1.288 obtained by matching rows alone. It should not be treated as interchangeable with close-to-close on that evidence, and Section 6.7 shows why: three-quarters of the excess is the overnight-intraday covariance Yang and Zhang assume away. AddRS (1.225) should be treated as a model-dependent alternative, not a default correction. We state no criterion-free ordering because these are deviations from an imperfect proxy, classified against a stated (post hoc) margin, not accuracy against latent variance. Section 6.7 adds a condition to every recommendation above: each estimator that reads the open inherits its error, and NEPSE's opening price is mostly transient. The comparisons in this section are therefore comparisons among estimators that share that error; close-to-close does not share it, which is why it anchors the scale. Section 6.8 does state a formal loss function, the QLIKE loss of forecasts of future close-to-close variance, and under it, in the corrected evaluation, a classical range estimator has significantly lower loss than Anam's estimator in one comparison of 84; even so it yields no universal ordering, because close-to-close is not beaten everywhere, forecasts built from returns alone are about as accurate in most samples, and the comparison with close-to-close changes under a different loss function.</w:t>
      </w:r>
    </w:p>
    <w:p>
      <w:pPr>
        <w:pStyle w:val="Heading1"/>
      </w:pPr>
      <w:r>
        <w:t>8. Discussion</w:t>
      </w:r>
    </w:p>
    <w:p>
      <w:r>
        <w:t>The main result is more optimistic than the usual intuition about frontier markets. The lack of derivatives does not imply that risk cannot be measured, and thin trading does not automatically make daily ranges useless. In the NEPSE ordinary-equity sample, the price path observed through OHLC data contains enough information for range-based volatility to remain near a matched benchmark even at modest trading intensity. This is economically meaningful because it gives a low-data-cost approach to risk measurement in a market where intraday databases and derivative prices are not readily available. That benchmark, however, reads the opening price, and the open is where NEPSE's daily bar is least reliable.</w:t>
      </w:r>
    </w:p>
    <w:p>
      <w:r>
        <w:t>At the same time, the study shows that frontier-market volatility is as much a data-engineering problem as an econometric one. A perfectly coded Parkinson formula can produce a misleading research conclusion if the low-liquidity sample is mostly bonds and restricted shares. A theoretically appropriate Rogers-Satchell comparison can appear strongly biased if it is benchmarked against close-to-close variance it was never built to match. Because that composition argument carries more weight here than any single estimator result, it is not left resting on our own classification rule: reconciling the rule against an external listing of NEPSE securities gives 99.61% agreement on 511 securities, and the two disagreements are corrected rather than argued away. An independent source reproduces the classification, so the composition finding is a property of the market's instrument mix and not of our heuristic. The general lesson is that in frontier-market research sample construction can masquerade as a microstructure effect, and the classification step deserves the same auditing as the estimator.</w:t>
      </w:r>
    </w:p>
    <w:p>
      <w:pPr/>
      <w:r>
        <w:t>The opening price is the second main result, and it is less comfortable for the range-estimator literature than the first. Range-based estimators were derived for a continuously observed price path whose open is an efficient price (Garman &amp; Klass, 1980; Rogers &amp; Satchell, 1991; Yang &amp; Zhang, 2000). In NEPSE the open is mostly transient: the session undoes 64% or more of the overnight move under every rule regime, and, on a post hoc split, the error sits in each security's own auction, which a market average largely washes out (Section 6.7). The estimators' agreement with the open-to-close proxy, which Section 6.6 finds consistent with calibration rather than cancellation, is therefore agreement among measures that share one error. Ratio comparisons cannot see it, including the ones in earlier versions of this paper. The diagnostic that exposes it, the unbiasedness coefficient of the open, needs nothing beyond the daily bar, so it can be computed wherever these estimators are used.</w:t>
      </w:r>
    </w:p>
    <w:p>
      <w:pPr/>
      <w:r>
        <w:t>The band reform adds a market-design reading. Price limits are defended as a check on overreaction and criticised for delaying price discovery (Kim &amp; Rhee, 1997). At NEPSE's opening auction the ±2% band showed no sign of the delay: the opens it pinned were reversed, not continued. After the package that widened it, transient opening moves grew, and a stock opening at the new upper band closed, on average, where it had closed the day before. That is evidence about one rule package in one market over 90 sessions, with the daily limit, the continuous-session order band, the circuit breaker and the queuing of orders entered before the session changed on the same date. It says nothing about welfare, nor about the liquidity costs a band can carry: when tight intraday bands were imposed on newly listed Indian shares, volatility fell but the price impact of trades rose (Gatchev, Seth, Singh &amp; Vishwanatha, 2023). But it is the kind of evidence a regulator weighing the width of a pre-open band would want, and it can be updated as the post-reform sample grows.</w:t>
      </w:r>
    </w:p>
    <w:p>
      <w:pPr/>
      <w:r>
        <w:t>The estimator of Section 6.8 is the constructive side of these findings, and its record says something about the classical estimators as well as about itself. Each classical range formula compared here fixes how far the open is trusted, and that trust should be checked rather than assumed, because it varies across NEPSE's own rule regimes (0.130 to 0.356) and across the frontier markets examined (0.343 to 0.653). Checking it is not the same as plugging the estimate in: where it was well below one, setting it to zero did better than using the measured value. Once the open is discounted and the level is set on the close-to-close scale, the range can add information that close-to-close alone does not have, but the corrected evaluation shows how much depends on the comparison. Against close-to-close with the plans' simple shrinkage, the open-free form wins at five sessions in six of seven samples; against GARCH-type and HAR forecasts of returns, a range-based forecast wins only in the long Dhaka history and in Morocco, and loses in recent Dhaka data. That the open-free form beats the full form wherever the open is unreliable, and that the full form never beats it, suggests something simpler: where the open is unreliable, the most useful thing an estimator can do with it is to leave it out and measure the range from the previous close. The limits are the benchmark's. Close-to-close beat both forms immediately after NEPSE's rule change, which is when a regulator or a risk manager most needs a reliable number, forecasts built from returns alone matched the range-based forecasts in most samples, and the comparison with close-to-close turns on the loss function.</w:t>
      </w:r>
    </w:p>
    <w:p>
      <w:pPr/>
      <w:r>
        <w:t>It is worth being precise about what is added relative to existing Nepali work. The targeted search located index-level volatility modelling (Dangal &amp; Gajurel, 2021; Karki, 2026) and a security-level study of return volatility built from closing prices (Neupane, Neupane, &amp; Baral, 2022). None of that work is superseded here, and the abstract-only records among it are not used to characterise methods or absence. The difference is one of object: those studies model or relate volatility once it has been measured, whereas the question here is how the measurement itself should be done when the inputs are a daily OHLC bar produced by a market with stale prices, price limits, an opening auction and corporate-action reference prices. Work on adjusting Nepali return series for thin trading is adjacent to that question rather than equivalent to it.</w:t>
      </w:r>
    </w:p>
    <w:p>
      <w:r>
        <w:t>The India VIX result is useful for interpretation, within limits. Tested at the horizon India VIX actually refers to, the option-implied signal does carry information about the volatility that follows it, for both the range and the close-to-close measure, which helps explain why range-based measures remain informative in a market without options. But the forward correlations are materially below the trailing ones, the comparison between the two estimators is inconclusive, and close-to-close is nominally ahead throughout. The external evidence therefore establishes that daily OHLC data track an options-implied volatility state, and establishes no ranking between the estimators that track it. None of this makes a realized-volatility system a substitute for an options market: Nepal still lacks a forward-looking, risk-neutral volatility term structure, and a carefully constructed realized-volatility system substitutes for measurement, not for the information an option chain would provide.</w:t>
      </w:r>
    </w:p>
    <w:p>
      <w:pPr>
        <w:pStyle w:val="Heading1"/>
      </w:pPr>
      <w:r>
        <w:t>9. Reproducibility and Audit Trail</w:t>
      </w:r>
    </w:p>
    <w:p>
      <w:pPr/>
      <w:r>
        <w:t>This revision uses only empirical results with a traceable source in the accompanying package, and the reproducibility map now names a producer for every section and table that appears in this manuscript. The map links the descriptive screens and composition audit to script 03, the instrument-classification audit against the external security master to script 27, the cross-market fingerprint, the India VIX co-movement check and its NEPSE-overlap-window sensitivity to script 09, the benchmark decomposition to script 12, the opening-auction diagnostics to script 13, the AddRS comparison to scripts 17 and 19, the universe-composition result to script 22, the long-form duplicate reconciliation to script 24, the robustness suite of Section 6.5 — including the horizon-matched Yang-Zhang benchmark, the corporate-action-adjusted previous close, the stated (post hoc) equivalence margin and the block-date dependence structure — to script 26, the panel-balance, extreme-thin-tail and information-content results to script 28, the external calendar cross-check and staleness-threshold sensitivity to script 29, the build-manifest repair to script 30, and the manuscript-facing summary tables to script 25. Script 02 builds the panels, the trading calendar and the daily-trades duplicate audit from the raw downloads. Every number printed in this manuscript is interpolated from those frozen outputs by a script rather than transcribed by hand, and the test suite fails if the map names a producer or an output that does not exist.</w:t>
      </w:r>
    </w:p>
    <w:p>
      <w:pPr/>
      <w:r>
        <w:t>The archive also records failed and superseded analyses, and they are deliberately not promoted into results here. This paper does not report the attempted censored-normal estimate of latent opening dispersion, because it failed the available post-April-2026 regime-change check; and it does not use the earlier multi-horizon convergence result, which was invalidated by a stock-day bucket construction that stitched nonconsecutive sessions. Analyses that were previously in that category have since been given producing code and are now reported: the equity-classifier validation of Section 3 and Table 9, the robustness suite of Section 6.5, the panel-balance and extreme-thin-tail decomposition of Tables 10-11, the information-content correlations of Table 14, and the block-date dependence structure of Table 15. Corrections made across these two revisions are recorded rather than absorbed silently, because each changed a number that had already been circulated. The Yang-Zhang total-risk ratio moved three times for three distinct, disclosed reasons: this is the scope error of Section 5.4 in a different guise, first the row-matching of every estimator to its own proxy, which moved it from 1.245 to 1.288; then matching the estimator's own 21-session horizon rather than a single session's return, which moved it to 1.273; then adjusting the previous close for the 214 corporate actions identified among the 315 previous-close disagreements of Section 4.5, which moved it to 1.280 once that definition was applied to Yang-Zhang's own overnight term as well as to the benchmark. A fourth-round audit found that the previously circulated 1.309 had applied the adjustment to the benchmark alone, because the estimator had no parameter through which the adopted previous close could reach it; the estimator now takes that series explicitly, a regression test fails if it is ignored, and the consistent alternatives are 1.273 (unadjusted throughout) and 1.288 (row-matched only, same-session benchmark). Separately, the addition of calendar-date clustering to the bootstrap roughly doubled the reported interval widths, and a further stationary block bootstrap over calendar dates (Table 15) moved the count of Table 7's six named estimators whose interval excludes one from 3 of 6 to 2 of 6; and the April 2026 trading-week date was separated from the price-limit date. Attractive findings that cannot be regenerated are treated as unavailable evidence, and corrections that change a circulated number are stated as corrections.</w:t>
      </w:r>
    </w:p>
    <w:p>
      <w:pPr/>
      <w:r>
        <w:t>For input provenance, the package contains a processed-data BUILD-MANIFEST recording the interpreter, package versions, cleaning-rule versions and aggregate raw-data hash, together with field-level repair audits and the duplicate audits for both panels. The 2024-2026 daily-trades panel has been rebuilt from the original raw downloads under the corrected duplicate-classification rule: the rebuild reports no duplicated security-date keys of any class, and the rebuilt panel is identical to the frozen panel distributed here, so no reported quantity depends on the superseded rule. The original stock-level downloads are not redistributed because their redistribution terms remain unresolved; the build script is retained as the complete cleaning specification and exits with an explanatory message when they are absent.</w:t>
      </w:r>
    </w:p>
    <w:p>
      <w:pPr/>
      <w:r>
        <w:t>Two further analyses were run under plans frozen and committed before their results existed, in the same manner as the forward India VIX test: the instrumented calibration of Section 6.6 (plan M14; scripts 34 and 36, with the Monte Carlo validation in script 35) and the opening-price analysis of Section 6.7 (plan M15; script 37, with its statistics validated on simulated panels in the test suite). Their decision rules are applied mechanically and written to decision ledgers. Their post hoc follow-ups are confined to separately labelled scripts (36 and 38). Every change made after their first results were seen is recorded in the audit register, including two readings of the calibration results that the opening-price analysis later overturned.</w:t>
      </w:r>
    </w:p>
    <w:p>
      <w:pPr/>
      <w:r>
        <w:t>The estimator of Section 6.8 was developed and tested under three further frozen plans: M16 for its design on NEPSE's first two regimes and its holdout on NEPSE's later regimes, the NIFTY 50 and the S&amp;P 500 (scripts 39 and 40, with post hoc follow-ups confined to script 41); M17 for Bangladesh and Vietnam (script 42); and M18 for Morocco (script 43). Each plan was committed to the package's history before the script that executes it existed, and its decision rules are applied mechanically to decision ledgers. The plans are timestamped only by that history, which the author controls: they were not lodged with an external registry, and the history was rewritten once to correct its authorship, with each original commit identifier mapped to its replacement in the audit register. The S&amp;P 500 series is read from a public software package at a pinned version; the Dhaka, Vietnamese and Casablanca stock files are third-party files that the package does not redistribute but documents and pins by checksum, including the repair of the Dhaka file's dates. Corrections made after these results were seen are recorded in the audit register. A post hoc recheck (script 44; Tables 37 and 38), run after every verdict was known, varies the inference, the loss function and the calibration and tests the data assumptions; it changes no verdict. The statistics behind Sections 6.6-6.8 are set out in a theory supplement written in LaTeX (paper/theory/): seven propositions with proofs, derived after the plans above were run, the seventh after the audit described below. Script 45 checked each closed form, identity and inequality against simulation or numerical integration (187 checks, all passing). Script 46 then verified each step of each proof, and the mathematical claims of this paper: the Yang-Zhang identity of Section 6.7, the non-negativity of Garman-Klass on a valid bar, the special cases of Anam's kernel and Appendix A. It did so symbolically wherever the step is algebra or calculus (321 steps, 166 of them symbolic, all passing). Script 48 checks the seventh proposition, on how much of the opening error each kernel absorbs (63 checks, all passing). One prediction from the supplement, that the open-free form gains most where a security's own open is noisiest, was fixed in advance under plan M19 and was not supported: it was confirmed in four of ten panel-horizon cases and reversed in one.</w:t>
      </w:r>
    </w:p>
    <w:p>
      <w:pPr/>
      <w:r>
        <w:t>An independent audit of the package (9 October 2026) found four defects in the forecast evaluation of plans M16-M18, statements that went beyond the evidence, and gaps in the reproducibility statements. The evaluation was corrected under plan M20, frozen before it was run (script 47; Section 6.8 and Table 39). Its first run exposed floating-point residues of equal prices, which also inflate the frozen loss levels (post hoc, script 51). The calibration's weight floor and first-stage strength were measured (post hoc, script 49), and every correction is registered (audit register M-028 to M-034). A prospective test is frozen as plan M21: every forecast's parameters are fixed on the current data (script 50) and will be scored, unchanged, on sessions after 9 October 2026. The package reproduces every result on the NEPSE panels and the two indices; the Bangladeshi, Vietnamese and Moroccan results need third-party files that it documents and pins by digest but does not distribute, and a run without them reports itself as partial.</w:t>
      </w:r>
    </w:p>
    <w:p>
      <w:pPr>
        <w:pStyle w:val="Heading1"/>
      </w:pPr>
      <w:r>
        <w:t>10. Limitations</w:t>
      </w:r>
    </w:p>
    <w:p>
      <w:r>
        <w:t>Several limitations should keep the conclusions appropriately narrow. First, the NEPSE benchmark is not true integrated variance. Without high-frequency transaction data or an options market, latent daily variance is unobserved. The matched open-to-close squared return is a practical proxy, and Patton (2011) shows that imperfect volatility proxies can affect comparisons. The paper therefore reports whether downward bias is detectable against the available benchmark rather than claiming that the true latent variance is known. Section 6.7 shows that the proxy is imperfect in one specific, measurable way: it reads an opening price that the session mostly reverses.</w:t>
      </w:r>
    </w:p>
    <w:p>
      <w:r>
        <w:t>Second, market institutions constrain how prices are formed and recorded. Pre-open bands, daily price limits, circuit-breaker rules, and no-match auction outcomes can change where observed variation appears in the daily bar. The project documents these institutional fingerprints but does not identify the latent opening return that would have occurred without the rules. An attempted censored-normal recovery did not survive the available regime-change check and is excluded from the reported results. Section 6.7 measures what the opening price anticipates rather than what it would have been, but without pre-open order-book or auction-volume data it cannot say whether the transient error reflects retail overreaction, a thin pre-open match setting the print, or orders placed at the band by design.</w:t>
      </w:r>
    </w:p>
    <w:p>
      <w:pPr/>
      <w:r>
        <w:t>Third, the market changed during the sample. Sections 6.6 and 6.7 model the closing-rule and band regimes explicitly, but the post-reform regime contains only 90 sessions, and the band reform was one part of a package, effective on one date two weeks after a trading-week reform, that also widened the daily limit and the continuous-session order band, raised the circuit-breaker thresholds and let orders be queued before the session. The evidence concerns that rule package, and its dose-response leg was not detected.</w:t>
      </w:r>
    </w:p>
    <w:p>
      <w:r>
        <w:t>Fourth, the external India VIX exercise is evidence about the Indian market, not a Nepal-specific implied-volatility measurement, and it is reported at two horizons that must not be conflated. India VIX is a forward-looking, risk-neutral quantity; the estimators here are backward-looking statistical ones. The forward test of Section 6.3 matches those horizons and finds the estimator comparison inconclusive; the trailing 21-session comparison is horizon-mismatched, uses heavily overlapping windows, and is descriptive only. Neither establishes that a NEPSE volatility estimate would track NEPSE's implied volatility, because Nepal has no options market against which such a test could be run; Section 6.8 tests forecasts of NEPSE's realised return variation instead, which needs no options.</w:t>
      </w:r>
    </w:p>
    <w:p>
      <w:pPr/>
      <w:r>
        <w:t>Fifth, the cross-market comparison uses the NIFTY series without the instrument, return and range screens applied to the NEPSE panel, because those screens are derived from NEPSE's own price-limit rules and have no NSE analogue. With roughly 4,000 NIFTY sessions against roughly 24,000 stock-days per NEPSE bucket, a single extreme NIFTY session carries far more leverage on the reference figures than any single NEPSE observation carries on the NEPSE ones. Section 6.3 quantifies that leverage.</w:t>
      </w:r>
    </w:p>
    <w:p>
      <w:pPr/>
      <w:r>
        <w:t>Sixth, the liquidity gradients in Tables 4 and 5 are formed on same-day transaction counts and are therefore endogenous; Table 6 reports predetermined alternatives and the two differ materially at the thin end.</w:t>
      </w:r>
    </w:p>
    <w:p>
      <w:pPr/>
      <w:r>
        <w:t>Seventh, instrument classification is rule-based — ticker convention validated against par-value bands — and is reconciled against an external listing of currently listed securities rather than against an official SEBON register. Agreement is 99.61% on 511 matched securities and the two disagreements are corrected, but ten securities that left the board during the sample cannot appear in that listing and retain their rule-based classification. An official register would close this gap entirely.</w:t>
      </w:r>
    </w:p>
    <w:p>
      <w:pPr/>
      <w:r>
        <w:t>Eighth, the open-to-close second moment is an imperfect proxy for latent within-session variance, not the variance itself. Every ratio in this paper is a deviation from that proxy. A ratio of 1.00 does not establish unbiasedness and a ratio of 1.04 does not establish true upward bias; both are statements about agreement with an observable benchmark whose own measurement error Section 6.7 bounds but cannot fully identify. Patton (2011) shows that ranking estimators on an imperfect proxy can invert the true ranking unless the proxy satisfies conditions we do not verify.</w:t>
      </w:r>
    </w:p>
    <w:p>
      <w:pPr/>
      <w:r>
        <w:t>Ninth, the intervals reported here absorb dependence within securities and within calendar dates. They quantify sampling uncertainty for the stated observable statistics; they do not model the measurement error in the proxy, and so say nothing about uncertainty concerning latent variance.</w:t>
      </w:r>
    </w:p>
    <w:p>
      <w:pPr/>
      <w:r>
        <w:t>Tenth, on data provenance. The processed panels distributed with this paper have been rebuilt from the original stock-level downloads under the duplicate-classification rule described in Section 3, and the rebuild reproduces them exactly, so the earlier caveat that conflict-freedom was assumed rather than demonstrated no longer applies. What remains is narrower: the raw downloads themselves are not redistributed, because their redistribution terms are unresolved. A reader can therefore reproduce every NEPSE and index result from the frozen panels, and can repeat the rebuild only with independent access to the sources; the Bangladeshi, Vietnamese and Moroccan results of Section 6.8 need third-party files that the package documents and pins by digest but does not distribute.</w:t>
      </w:r>
    </w:p>
    <w:p>
      <w:pPr/>
      <w:r>
        <w:t>Eleventh, the thin-tail evidence rests on how thinness is defined. Table 11 groups securities partly by their zero-range share, which is the estimator's own failure mode, so it is reported here as a descriptive failure-case inventory and not as robustness evidence; the robustness claim uses the lagged, outcome-independent screen of Tables 21 and 22 instead. Both are shown because they disagree, and the disagreement is itself the finding: an apparent collapse in the first does not survive the second.</w:t>
      </w:r>
    </w:p>
    <w:p>
      <w:pPr/>
      <w:r>
        <w:t>Twelfth, a ratio close to one is evidence about aggregate scale, not daily tracking fidelity; Table 14 reports materially different correlations with the matched proxy for estimators whose SD ratios are nearly identical, and a reader should not treat scale agreement as a stand-in for information content.</w:t>
      </w:r>
    </w:p>
    <w:p>
      <w:pPr/>
      <w:r>
        <w:t>Thirteenth, the calibration slopes of Section 6.6 are linear-projection slopes on predictable variance, relative to the open-to-close proxy. The single-index restriction behind them is rejected by an overidentification test in the pooled sample, though not once the additive component may differ by market regime (a post hoc check). They are evidence about calibration relative to the proxy, not about accuracy relative to latent variance, and their identification assumes that the lagged instruments are uncorrelated with the measurement error. With errors clustered by security and date, the primary specification's instruments are weak by the Montiel Olea-Pflueger criterion (effective F 19.4), though those dated two sessions back are not (29.9), a post hoc check.</w:t>
      </w:r>
    </w:p>
    <w:p>
      <w:pPr/>
      <w:r>
        <w:t>Fourteenth, the noise-robust kernel of Section 6.7 is unbiased only if the opening error is independent of overnight news: censoring biases it upward and news-proportional overreaction biases it downward. The kernel-based shares are therefore estimates under that assumption, and the bound reported beside them, which does not need it, is post hoc.</w:t>
      </w:r>
    </w:p>
    <w:p>
      <w:pPr/>
      <w:r>
        <w:t>Fifteenth, the estimator of Section 6.8 was designed on NEPSE data and has been tested in a finite set of samples. Its 60-date calibration lags a sudden change in rules, and in NEPSE's post-reform regime close-to-close beat it; a faster calibration closes most of that gap, but only in a post hoc check. Its open-free form was singled out after the second plan's results and has passed one frozen test since, in Morocco. The three new markets rest on third-party files whose provenance is weaker than NEPSE's: the Dhaka file's dates had to be repaired, the Vietnamese and Moroccan files do not document their original source, and the Moroccan prices are not adjusted for dividends.</w:t>
      </w:r>
    </w:p>
    <w:p>
      <w:pPr/>
      <w:r>
        <w:t>Sixteenth, the estimator's record against close-to-close is fragile in places, as a post hoc recheck shows (Tables 37 and 38). Under the plans' QLIKE loss the frozen verdicts survive longer Newey-West lags except in Morocco, where the full form's advantage rests on one band regime and does not survive a Holm correction across the three plans; under an MSE loss close-to-close beats both forms in Vietnam (Table 37). The estimator's level on the close-to-close scale comes from its calibration, which the classical estimators can be given too. Three data assumptions were checked rather than taken on trust: the repaired Dhaka dates look like the dates stamped correctly (8.7% and 8.5% of returns beyond 5%, and unbiasedness coefficients of 0.53 and 0.52); Morocco's band schedule, taken from press reports, matches the largest daily moves in each regime (99.9th percentiles of 10.5%, 4.2%, 6.2% and 10.5%); and the coefficient is similar across Vietnam's three exchanges, inferred from each share's largest moves (0.49 to 0.55). The Dhaka panels use the exchange's official close, which differs from the last trade on 18% of the stock-days checked.</w:t>
      </w:r>
    </w:p>
    <w:p>
      <w:pPr/>
      <w:r>
        <w:t>Seventeenth, the forecast evaluation of the three plans had defects that an audit found after their results were known, and the corrected evaluation that replaces it was designed after the audit had reported some of their effects. It covers fewer thin securities, because a target over sessions on which a security did not trade cannot be scored, and some of its verdicts, Morocco's in particular, depend on how securities and dates are weighted. Only the prospective test of plan M21, on sessions that did not exist when its parameters were fixed, is free of that history.</w:t>
      </w:r>
    </w:p>
    <w:p>
      <w:pPr>
        <w:pStyle w:val="Heading1"/>
      </w:pPr>
      <w:r>
        <w:t>11. Conclusion</w:t>
      </w:r>
    </w:p>
    <w:p>
      <w:r>
        <w:t>A frontier market does not need options to calculate a useful measure of volatility, but it does need conceptual discipline about what is being measured. Option-implied volatility cannot be recovered from spot prices, so the achievable object is historical and realized variation, measured well. Measuring it well in a market like Nepal's turns out to depend less on the choice of formula than on decisions that are usually treated as preliminaries: which instruments enter the sample, which sessions are genuine, and which benchmark a given estimator should be compared against.</w:t>
      </w:r>
    </w:p>
    <w:p>
      <w:r>
        <w:t>The NEPSE evidence shows that this is practical for the great majority of ordinary equities. Range-based estimates remain close to a scope-matched open-to-close proxy across the equity liquidity range and do not collapse in the least active quintile — the result the paper is most confident in, and one that holds under same-day, security-level and lagged liquidity sorts alike, and is more favourable to the thin group under the predetermined sorts than under the endogenous one — and this now holds under a thinness screen built only from lagged trading activity, not from the estimator's own zero-range outcome, which an earlier grouping had used and which had suggested a collapse that does not survive.  The NIFTY 50 and India VIX comparison, tested at the 30-day horizon India VIX actually refers to rather than against a trailing window, shows that daily OHLC measures do track an options-implied volatility state into the future (0.695 for close-to-close, 0.630 for Parkinson) while tracking its immediate past more closely still, and it separates the two estimators not at all: the difference between them is inconclusive, so that exercise establishes co-movement rather than dominance.</w:t>
      </w:r>
    </w:p>
    <w:p>
      <w:pPr/>
      <w:r>
        <w:t>The paper's second finding qualifies its first. The opening price, which every within-session estimator and the open-to-close proxy read, is mostly transient in NEPSE: the trading session undoes between 64% and 87% of the overnight move, an error that, on a post hoc split, sits in each security's own auction rather than in the market-wide move. An event study under a frozen plan links part of this to market design: the rule package that widened the pre-open band from ±2% to ±5% coincided with a sharp break in how much of the open survives to the close, larger than at any placebo date, and the opens pinned at the old band had been reversed rather than continued. The open's error accounts for three-quarters of Yang-Zhang's excess over close-to-close variance. It leaves the range estimators' calibration to their benchmark intact but uninformative about efficient variance.</w:t>
      </w:r>
    </w:p>
    <w:p>
      <w:pPr/>
      <w:r>
        <w:t>The third finding is constructive, and narrower than it first looks. An estimator that measures how far the open can be trusted, reads it only that far and calibrates to close-to-close variance (Anam's estimator, Section 6.8) was not beaten significantly by any classical range estimator in seven out-of-sample tests across Nepal, Bangladesh, Vietnam, Morocco and two benchmark indices, under the loss function the plans fixed; in a corrected evaluation one such comparison in 84 goes against it and none against its open-free form, but forecasts built from returns alone match or beat the best range-based forecast in five of the seven samples. Its level stayed within 1.1% of close-to-close variance outside NEPSE's post-reform regime, but that is the calibration's doing: the classical formulas, which miss by tens of percent uncalibrated, come within a few percent when given the same calibration. Its full form did not beat close-to-close at short horizons in the primary panel of any of the four frontier markets once the evaluation was corrected, its record against close-to-close changes with the loss function, and of its two forms the open-free one, which leaves the open out altogether, is the one the frontier-market evidence favours.</w:t>
      </w:r>
    </w:p>
    <w:p>
      <w:r>
        <w:t>The claims should stop there, including the claim to novelty. A targeted search of the Nepali literature located both index-level volatility modelling and a security-level study built from closing prices, so no claim is made to introduce security-level volatility analysis to Nepal. What the paper contributes is a reproducible comparison of daily OHLC estimators under this market's own calendar, staleness, thin-trading and closing-rule constraints, a test of calibration against offsetting distortions, evidence that a change in the market's opening rules coincided with a change in what its daily bars measure, and an estimator built on that evidence, tested out of sample under frozen plans and retested after an audit corrected their evaluation. The open-to-close second moment is an imperfect proxy rather than latent variance, so proximity to it is evidence about agreement with an observable benchmark and not about accuracy; the deviations we report are small and, where they are statistically distinguishable from one, economically modest. No estimator is shown to dominate generally, and the paper deliberately states no criterion-free ordering, because the appropriate choice depends on the risk object and the maintained assumptions rather than on a single number. What does generalize is the negative result about sample construction: pooling instrument classes manufactures an illiquidity finding that is really a composition finding, and in frontier-market research that failure mode is easy to reproduce and hard to see. That result is reported here on a classification reconciled against an external listing of NEPSE securities rather than on a ticker heuristic alone, which is what allows it to be read as a fact about the market rather than about our own rule. The recommendation is therefore procedural: classify the securities correctly and check the classification against an independent source, clean and validate OHLC data against the market's own rules, use the genuine session calendar and the market's own annualization factor, match every benchmark to the estimator's scope and to its rows, report uncertainty that respects both cross-sectional and calendar dependence, and justify any bias correction in the target sample before applying it; and, before trusting any estimator that reads the opening price, measure how much of that price survives to the close.</w:t>
      </w:r>
    </w:p>
    <w:p>
      <w:pPr>
        <w:pStyle w:val="Heading1"/>
      </w:pPr>
      <w:r>
        <w:t>Declarations</w:t>
      </w:r>
    </w:p>
    <w:p>
      <w:pPr/>
      <w:r>
        <w:rPr>
          <w:b/>
        </w:rPr>
        <w:t xml:space="preserve">Data availability statement: </w:t>
      </w:r>
      <w:r>
        <w:t>The processed data supporting this study's NEPSE and index findings, together with the code used to produce every reported result, are provided in the accompanying reproducibility package. Original stock-level source downloads from NEPSE are not redistributed because their redistribution terms are unresolved; a reader with independent access to them can rebuild the processed panel from data/raw/ using scripts/02_build_panel.py, and the rebuild has been independently verified to reproduce the distributed panel exactly (Section 9). The analysis of Section 6.8 also uses the S&amp;P 500 series distributed with the arch Python package (version 8.0.0) and stock-level files for the Dhaka, Vietnamese and Casablanca exchanges that are not redistributed; the package documents their sources and pins each by its SHA-256 digest, and a run without them reproduces the NEPSE and index results and reports itself as partial.</w:t>
      </w:r>
    </w:p>
    <w:p>
      <w:pPr/>
      <w:r>
        <w:rPr>
          <w:b/>
        </w:rPr>
        <w:t xml:space="preserve">Funding: </w:t>
      </w:r>
      <w:r>
        <w:t>This research received no specific grant from any funding agency in the public, commercial, or not-for-profit sectors.</w:t>
      </w:r>
    </w:p>
    <w:p>
      <w:pPr/>
      <w:r>
        <w:rPr>
          <w:b/>
        </w:rPr>
        <w:t xml:space="preserve">Conflict of interest: </w:t>
      </w:r>
      <w:r>
        <w:t>The author declares no conflict of interest.</w:t>
      </w:r>
    </w:p>
    <w:p>
      <w:pPr>
        <w:pStyle w:val="Heading1"/>
      </w:pPr>
      <w:r>
        <w:t>References</w:t>
      </w:r>
    </w:p>
    <w:p>
      <w:pPr>
        <w:spacing w:after="80" w:line="240" w:lineRule="auto"/>
        <w:ind w:left="403" w:hanging="403"/>
        <w:jc w:val="left"/>
      </w:pPr>
      <w:r>
        <w:rPr>
          <w:rFonts w:ascii="Times New Roman" w:hAnsi="Times New Roman"/>
          <w:sz w:val="21"/>
        </w:rPr>
        <w:t>Agarwalla, S. K., Jacob, J., &amp; Pandey, A. (2015). Impact of the introduction of call auction on price discovery: Evidence from the Indian stock market using high-frequency data. International Review of Financial Analysis, 39, 167-178. https://doi.org/10.1016/j.irfa.2015.01.012</w:t>
      </w:r>
    </w:p>
    <w:p>
      <w:pPr>
        <w:spacing w:after="80" w:line="240" w:lineRule="auto"/>
        <w:ind w:left="403" w:hanging="403"/>
        <w:jc w:val="left"/>
      </w:pPr>
      <w:r>
        <w:rPr>
          <w:rFonts w:ascii="Times New Roman" w:hAnsi="Times New Roman"/>
          <w:sz w:val="21"/>
        </w:rPr>
        <w:t>Alizadeh, S., Brandt, M. W., &amp; Diebold, F. X. (2002). Range-based estimation of stochastic volatility models. Journal of Finance, 57(3), 1047-1091.</w:t>
      </w:r>
    </w:p>
    <w:p>
      <w:pPr>
        <w:spacing w:after="80" w:line="240" w:lineRule="auto"/>
        <w:ind w:left="403" w:hanging="403"/>
        <w:jc w:val="left"/>
      </w:pPr>
      <w:r>
        <w:rPr>
          <w:rFonts w:ascii="Times New Roman" w:hAnsi="Times New Roman"/>
          <w:sz w:val="21"/>
        </w:rPr>
        <w:t>Amihud, Y., &amp; Mendelson, H. (1987). Trading mechanisms and stock returns: An empirical investigation. Journal of Finance, 42(3), 533-553. https://doi.org/10.1111/j.1540-6261.1987.tb04567.x</w:t>
      </w:r>
    </w:p>
    <w:p>
      <w:pPr>
        <w:spacing w:after="80" w:line="240" w:lineRule="auto"/>
        <w:ind w:left="403" w:hanging="403"/>
        <w:jc w:val="left"/>
      </w:pPr>
      <w:r>
        <w:rPr>
          <w:rFonts w:ascii="Times New Roman" w:hAnsi="Times New Roman"/>
          <w:sz w:val="21"/>
        </w:rPr>
        <w:t>Andersen, T. G., &amp; Bollerslev, T. (1998). Answering the skeptics: Yes, standard volatility models do provide accurate forecasts. International Economic Review, 39(4), 885-905.</w:t>
      </w:r>
    </w:p>
    <w:p>
      <w:pPr>
        <w:spacing w:after="80" w:line="240" w:lineRule="auto"/>
        <w:ind w:left="403" w:hanging="403"/>
        <w:jc w:val="left"/>
      </w:pPr>
      <w:r>
        <w:rPr>
          <w:rFonts w:ascii="Times New Roman" w:hAnsi="Times New Roman"/>
          <w:sz w:val="21"/>
        </w:rPr>
        <w:t>Andersen, T. G., Bollerslev, T., Diebold, F. X., &amp; Labys, P. (2003). Modeling and forecasting realized volatility. Econometrica, 71(2), 579-625.</w:t>
      </w:r>
    </w:p>
    <w:p>
      <w:pPr>
        <w:spacing w:after="80" w:line="240" w:lineRule="auto"/>
        <w:ind w:left="403" w:hanging="403"/>
        <w:jc w:val="left"/>
      </w:pPr>
      <w:r>
        <w:rPr>
          <w:rFonts w:ascii="Times New Roman" w:hAnsi="Times New Roman"/>
          <w:sz w:val="21"/>
        </w:rPr>
        <w:t>Ardia, D., Guidotti, E., &amp; Kroencke, T. A. (2024). Efficient estimation of bid-ask spreads from open, high, low, and close prices. Journal of Financial Economics, 161, 103916. https://doi.org/10.1016/j.jfineco.2024.103916</w:t>
      </w:r>
    </w:p>
    <w:p>
      <w:pPr>
        <w:spacing w:after="80" w:line="240" w:lineRule="auto"/>
        <w:ind w:left="403" w:hanging="403"/>
        <w:jc w:val="left"/>
      </w:pPr>
      <w:r>
        <w:rPr>
          <w:rFonts w:ascii="Times New Roman" w:hAnsi="Times New Roman"/>
          <w:sz w:val="21"/>
        </w:rPr>
        <w:t>Arellano, M., &amp; Bover, O. (1995). Another look at the instrumental variable estimation of error-components models. Journal of Econometrics, 68(1), 29-51. https://doi.org/10.1016/0304-4076(94)01642-D</w:t>
      </w:r>
    </w:p>
    <w:p>
      <w:pPr>
        <w:spacing w:after="80" w:line="240" w:lineRule="auto"/>
        <w:ind w:left="403" w:hanging="403"/>
        <w:jc w:val="left"/>
      </w:pPr>
      <w:r>
        <w:rPr>
          <w:rFonts w:ascii="Times New Roman" w:hAnsi="Times New Roman"/>
          <w:sz w:val="21"/>
        </w:rPr>
        <w:t>Barclay, M. J., &amp; Hendershott, T. (2003). Price discovery and trading after hours. Review of Financial Studies, 16(4), 1041-1073. https://doi.org/10.1093/rfs/hhg030</w:t>
      </w:r>
    </w:p>
    <w:p>
      <w:pPr>
        <w:spacing w:after="80" w:line="240" w:lineRule="auto"/>
        <w:ind w:left="403" w:hanging="403"/>
        <w:jc w:val="left"/>
      </w:pPr>
      <w:r>
        <w:rPr>
          <w:rFonts w:ascii="Times New Roman" w:hAnsi="Times New Roman"/>
          <w:sz w:val="21"/>
        </w:rPr>
        <w:t>Barndorff-Nielsen, O. E., &amp; Shephard, N. (2002). Econometric analysis of realized volatility and its use in estimating stochastic volatility models. Journal of the Royal Statistical Society Series B, 64(2), 253-280.</w:t>
      </w:r>
    </w:p>
    <w:p>
      <w:pPr>
        <w:spacing w:after="80" w:line="240" w:lineRule="auto"/>
        <w:ind w:left="403" w:hanging="403"/>
        <w:jc w:val="left"/>
      </w:pPr>
      <w:r>
        <w:rPr>
          <w:rFonts w:ascii="Times New Roman" w:hAnsi="Times New Roman"/>
          <w:sz w:val="21"/>
        </w:rPr>
        <w:t>Bekaert, G., &amp; Harvey, C. R. (1997). Emerging equity market volatility. Journal of Financial Economics, 43(1), 29-77.</w:t>
      </w:r>
    </w:p>
    <w:p>
      <w:pPr>
        <w:spacing w:after="80" w:line="240" w:lineRule="auto"/>
        <w:ind w:left="403" w:hanging="403"/>
        <w:jc w:val="left"/>
      </w:pPr>
      <w:r>
        <w:rPr>
          <w:rFonts w:ascii="Times New Roman" w:hAnsi="Times New Roman"/>
          <w:sz w:val="21"/>
        </w:rPr>
        <w:t>Bekaert, G., Harvey, C. R., &amp; Lundblad, C. (2007). Liquidity and expected returns: Lessons from emerging markets. Review of Financial Studies, 20(6), 1783-1831.</w:t>
      </w:r>
    </w:p>
    <w:p>
      <w:pPr>
        <w:spacing w:after="80" w:line="240" w:lineRule="auto"/>
        <w:ind w:left="403" w:hanging="403"/>
        <w:jc w:val="left"/>
      </w:pPr>
      <w:r>
        <w:rPr>
          <w:rFonts w:ascii="Times New Roman" w:hAnsi="Times New Roman"/>
          <w:sz w:val="21"/>
        </w:rPr>
        <w:t>Biais, B., Hillion, P., &amp; Spatt, C. (1999). Price discovery and learning during the preopening period in the Paris Bourse. Journal of Political Economy, 107(6), 1218-1248. https://doi.org/10.1086/250095</w:t>
      </w:r>
    </w:p>
    <w:p>
      <w:pPr>
        <w:spacing w:after="80" w:line="240" w:lineRule="auto"/>
        <w:ind w:left="403" w:hanging="403"/>
        <w:jc w:val="left"/>
      </w:pPr>
      <w:r>
        <w:rPr>
          <w:rFonts w:ascii="Times New Roman" w:hAnsi="Times New Roman"/>
          <w:sz w:val="21"/>
        </w:rPr>
        <w:t>Bollerslev, T. (1986). Generalized autoregressive conditional heteroskedasticity. Journal of Econometrics, 31(3), 307-327. https://doi.org/10.1016/0304-4076(86)90063-1</w:t>
      </w:r>
    </w:p>
    <w:p>
      <w:pPr>
        <w:spacing w:after="80" w:line="240" w:lineRule="auto"/>
        <w:ind w:left="403" w:hanging="403"/>
        <w:jc w:val="left"/>
      </w:pPr>
      <w:r>
        <w:rPr>
          <w:rFonts w:ascii="Times New Roman" w:hAnsi="Times New Roman"/>
          <w:sz w:val="21"/>
        </w:rPr>
        <w:t>Cameron, A. C., Gelbach, J. B., &amp; Miller, D. L. (2011). Robust inference with multiway clustering. Journal of Business &amp; Economic Statistics, 29(2), 238-249.</w:t>
      </w:r>
    </w:p>
    <w:p>
      <w:pPr>
        <w:spacing w:after="80" w:line="240" w:lineRule="auto"/>
        <w:ind w:left="403" w:hanging="403"/>
        <w:jc w:val="left"/>
      </w:pPr>
      <w:r>
        <w:rPr>
          <w:rFonts w:ascii="Times New Roman" w:hAnsi="Times New Roman"/>
          <w:sz w:val="21"/>
        </w:rPr>
        <w:t>Christensen, B. J., &amp; Prabhala, N. R. (1998). The relation between implied and realized volatility. Journal of Financial Economics, 50(2), 125-150. https://doi.org/10.1016/S0304-405X(98)00034-8</w:t>
      </w:r>
    </w:p>
    <w:p>
      <w:pPr>
        <w:spacing w:after="80" w:line="240" w:lineRule="auto"/>
        <w:ind w:left="403" w:hanging="403"/>
        <w:jc w:val="left"/>
      </w:pPr>
      <w:r>
        <w:rPr>
          <w:rFonts w:ascii="Times New Roman" w:hAnsi="Times New Roman"/>
          <w:sz w:val="21"/>
        </w:rPr>
        <w:t>Christensen, K., &amp; Podolskij, M. (2007). Realized range-based estimation of integrated variance. Journal of Econometrics, 141(2), 323-349.</w:t>
      </w:r>
    </w:p>
    <w:p>
      <w:pPr>
        <w:spacing w:after="80" w:line="240" w:lineRule="auto"/>
        <w:ind w:left="403" w:hanging="403"/>
        <w:jc w:val="left"/>
      </w:pPr>
      <w:r>
        <w:rPr>
          <w:rFonts w:ascii="Times New Roman" w:hAnsi="Times New Roman"/>
          <w:sz w:val="21"/>
        </w:rPr>
        <w:t>Corsi, F. (2009). A simple approximate long-memory model of realized volatility. Journal of Financial Econometrics, 7(2), 174-196. https://doi.org/10.1093/jjfinec/nbp001</w:t>
      </w:r>
    </w:p>
    <w:p>
      <w:pPr>
        <w:spacing w:after="80" w:line="240" w:lineRule="auto"/>
        <w:ind w:left="403" w:hanging="403"/>
        <w:jc w:val="left"/>
      </w:pPr>
      <w:r>
        <w:rPr>
          <w:rFonts w:ascii="Times New Roman" w:hAnsi="Times New Roman"/>
          <w:sz w:val="21"/>
        </w:rPr>
        <w:t>Corwin, S. A., &amp; Schultz, P. (2012). A simple way to estimate bid-ask spreads from daily high and low prices. Journal of Finance, 67(2), 719-760.</w:t>
      </w:r>
    </w:p>
    <w:p>
      <w:pPr>
        <w:spacing w:after="80" w:line="240" w:lineRule="auto"/>
        <w:ind w:left="403" w:hanging="403"/>
        <w:jc w:val="left"/>
      </w:pPr>
      <w:r>
        <w:rPr>
          <w:rFonts w:ascii="Times New Roman" w:hAnsi="Times New Roman"/>
          <w:sz w:val="21"/>
        </w:rPr>
        <w:t>Dangal, D. N., &amp; Gajurel, R. P. (2021). Volatility of daily Nepal Stock Exchange (NEPSE) index return: A GARCH family models. Tribhuvan University Journal, 36(1), 31-44. https://doi.org/10.3126/tuj.v36i01.43514</w:t>
      </w:r>
    </w:p>
    <w:p>
      <w:pPr>
        <w:spacing w:after="80" w:line="240" w:lineRule="auto"/>
        <w:ind w:left="403" w:hanging="403"/>
        <w:jc w:val="left"/>
      </w:pPr>
      <w:r>
        <w:rPr>
          <w:rFonts w:ascii="Times New Roman" w:hAnsi="Times New Roman"/>
          <w:sz w:val="21"/>
        </w:rPr>
        <w:t>Davezies, L., D'Haultfœuille, X., &amp; Guyonvarch, Y. (2021). Empirical process results for exchangeable arrays. Annals of Statistics, 49(2), 845-862.</w:t>
      </w:r>
    </w:p>
    <w:p>
      <w:pPr>
        <w:spacing w:after="80" w:line="240" w:lineRule="auto"/>
        <w:ind w:left="403" w:hanging="403"/>
        <w:jc w:val="left"/>
      </w:pPr>
      <w:r>
        <w:rPr>
          <w:rFonts w:ascii="Times New Roman" w:hAnsi="Times New Roman"/>
          <w:sz w:val="21"/>
        </w:rPr>
        <w:t>Diebold, F. X., &amp; Mariano, R. S. (1995). Comparing predictive accuracy. Journal of Business &amp; Economic Statistics, 13(3), 253-263.</w:t>
      </w:r>
    </w:p>
    <w:p>
      <w:pPr>
        <w:spacing w:after="80" w:line="240" w:lineRule="auto"/>
        <w:ind w:left="403" w:hanging="403"/>
        <w:jc w:val="left"/>
      </w:pPr>
      <w:r>
        <w:rPr>
          <w:rFonts w:ascii="Times New Roman" w:hAnsi="Times New Roman"/>
          <w:sz w:val="21"/>
        </w:rPr>
        <w:t>Garman, M. B., &amp; Klass, M. J. (1980). On the estimation of security price volatilities from historical data. Journal of Business, 53(1), 67-78.</w:t>
      </w:r>
    </w:p>
    <w:p>
      <w:pPr>
        <w:spacing w:after="80" w:line="240" w:lineRule="auto"/>
        <w:ind w:left="403" w:hanging="403"/>
        <w:jc w:val="left"/>
      </w:pPr>
      <w:r>
        <w:rPr>
          <w:rFonts w:ascii="Times New Roman" w:hAnsi="Times New Roman"/>
          <w:sz w:val="21"/>
        </w:rPr>
        <w:t>Gatchev, V. A., Seth, R., Singh, A., &amp; Vishwanatha, S. R. (2023). Price bands and their effects on equity markets: Evidence from a natural experiment. Journal of Financial Markets, 66, 100840. https://doi.org/10.1016/j.finmar.2023.100840</w:t>
      </w:r>
    </w:p>
    <w:p>
      <w:pPr>
        <w:spacing w:after="80" w:line="240" w:lineRule="auto"/>
        <w:ind w:left="403" w:hanging="403"/>
        <w:jc w:val="left"/>
      </w:pPr>
      <w:r>
        <w:rPr>
          <w:rFonts w:ascii="Times New Roman" w:hAnsi="Times New Roman"/>
          <w:sz w:val="21"/>
        </w:rPr>
        <w:t>Glosten, L. R., Jagannathan, R., &amp; Runkle, D. E. (1993). On the relation between the expected value and the volatility of the nominal excess return on stocks. Journal of Finance, 48(5), 1779-1801. https://doi.org/10.1111/j.1540-6261.1993.tb05128.x</w:t>
      </w:r>
    </w:p>
    <w:p>
      <w:pPr>
        <w:spacing w:after="80" w:line="240" w:lineRule="auto"/>
        <w:ind w:left="403" w:hanging="403"/>
        <w:jc w:val="left"/>
      </w:pPr>
      <w:r>
        <w:rPr>
          <w:rFonts w:ascii="Times New Roman" w:hAnsi="Times New Roman"/>
          <w:sz w:val="21"/>
        </w:rPr>
        <w:t>Hansen, P. R., &amp; Lunde, A. (2005). A realized variance for the whole day based on intermittent high-frequency data. Journal of Financial Econometrics, 3(4), 525-554.</w:t>
      </w:r>
    </w:p>
    <w:p>
      <w:pPr>
        <w:spacing w:after="80" w:line="240" w:lineRule="auto"/>
        <w:ind w:left="403" w:hanging="403"/>
        <w:jc w:val="left"/>
      </w:pPr>
      <w:r>
        <w:rPr>
          <w:rFonts w:ascii="Times New Roman" w:hAnsi="Times New Roman"/>
          <w:sz w:val="21"/>
        </w:rPr>
        <w:t>Hansen, P. R., &amp; Lunde, A. (2006). Realized variance and market microstructure noise. Journal of Business &amp; Economic Statistics, 24(2), 127-161.</w:t>
      </w:r>
    </w:p>
    <w:p>
      <w:pPr>
        <w:spacing w:after="80" w:line="240" w:lineRule="auto"/>
        <w:ind w:left="403" w:hanging="403"/>
        <w:jc w:val="left"/>
      </w:pPr>
      <w:r>
        <w:rPr>
          <w:rFonts w:ascii="Times New Roman" w:hAnsi="Times New Roman"/>
          <w:sz w:val="21"/>
        </w:rPr>
        <w:t>Hansen, P. R., &amp; Lunde, A. (2014). Estimating the persistence and the autocorrelation function of a time series that is measured with error. Econometric Theory, 30(1), 60-93. https://doi.org/10.1017/S0266466613000121</w:t>
      </w:r>
    </w:p>
    <w:p>
      <w:pPr>
        <w:spacing w:after="80" w:line="240" w:lineRule="auto"/>
        <w:ind w:left="403" w:hanging="403"/>
        <w:jc w:val="left"/>
      </w:pPr>
      <w:r>
        <w:rPr>
          <w:rFonts w:ascii="Times New Roman" w:hAnsi="Times New Roman"/>
          <w:sz w:val="21"/>
        </w:rPr>
        <w:t>Hansen, P. R., Lunde, A., &amp; Nason, J. M. (2011). The model confidence set. Econometrica, 79(2), 453-497.</w:t>
      </w:r>
    </w:p>
    <w:p>
      <w:pPr>
        <w:spacing w:after="80" w:line="240" w:lineRule="auto"/>
        <w:ind w:left="403" w:hanging="403"/>
        <w:jc w:val="left"/>
      </w:pPr>
      <w:r>
        <w:rPr>
          <w:rFonts w:ascii="Times New Roman" w:hAnsi="Times New Roman"/>
          <w:sz w:val="21"/>
        </w:rPr>
        <w:t>The Himalayan Times. (2026, April 18). NEPSE amends trading regulations, introduces pre-market order queuing and tighter circuit breaker rules.</w:t>
      </w:r>
    </w:p>
    <w:p>
      <w:pPr>
        <w:spacing w:after="80" w:line="240" w:lineRule="auto"/>
        <w:ind w:left="403" w:hanging="403"/>
        <w:jc w:val="left"/>
      </w:pPr>
      <w:r>
        <w:rPr>
          <w:rFonts w:ascii="Times New Roman" w:hAnsi="Times New Roman"/>
          <w:sz w:val="21"/>
        </w:rPr>
        <w:t>Karki, S. (2026). Time-varying efficiency and volatility regimes in Nepal Stock Exchange (NEPSE): Evidence from daily data under the adaptive market hypothesis. NRB Economic Review, 37(1), 28-58. https://doi.org/10.3126/nrber.v37i1.92673</w:t>
      </w:r>
    </w:p>
    <w:p>
      <w:pPr>
        <w:spacing w:after="80" w:line="240" w:lineRule="auto"/>
        <w:ind w:left="403" w:hanging="403"/>
        <w:jc w:val="left"/>
      </w:pPr>
      <w:r>
        <w:rPr>
          <w:rFonts w:ascii="Times New Roman" w:hAnsi="Times New Roman"/>
          <w:sz w:val="21"/>
        </w:rPr>
        <w:t>The Kathmandu Post. (2026, July 27). 8 million Demat accounts later, Nepal's stock market is still missing the tools of a modern market.</w:t>
      </w:r>
    </w:p>
    <w:p>
      <w:pPr>
        <w:spacing w:after="80" w:line="240" w:lineRule="auto"/>
        <w:ind w:left="403" w:hanging="403"/>
        <w:jc w:val="left"/>
      </w:pPr>
      <w:r>
        <w:rPr>
          <w:rFonts w:ascii="Times New Roman" w:hAnsi="Times New Roman"/>
          <w:sz w:val="21"/>
        </w:rPr>
        <w:t>Kim, K. A., &amp; Rhee, S. G. (1997). Price limit performance: Evidence from the Tokyo Stock Exchange. Journal of Finance, 52(2), 885-901. https://doi.org/10.1111/j.1540-6261.1997.tb04827.x</w:t>
      </w:r>
    </w:p>
    <w:p>
      <w:pPr>
        <w:spacing w:after="80" w:line="240" w:lineRule="auto"/>
        <w:ind w:left="403" w:hanging="403"/>
        <w:jc w:val="left"/>
      </w:pPr>
      <w:r>
        <w:rPr>
          <w:rFonts w:ascii="Times New Roman" w:hAnsi="Times New Roman"/>
          <w:sz w:val="21"/>
        </w:rPr>
        <w:t>Kumar, D., &amp; Maheswaran, S. (2014a). A reflection principle for a random walk with implications for volatility estimation using extreme values of asset prices. Economic Modelling, 38, 33-44. https://doi.org/10.1016/j.econmod.2013.11.045</w:t>
      </w:r>
    </w:p>
    <w:p>
      <w:pPr>
        <w:spacing w:after="80" w:line="240" w:lineRule="auto"/>
        <w:ind w:left="403" w:hanging="403"/>
        <w:jc w:val="left"/>
      </w:pPr>
      <w:r>
        <w:rPr>
          <w:rFonts w:ascii="Times New Roman" w:hAnsi="Times New Roman"/>
          <w:sz w:val="21"/>
        </w:rPr>
        <w:t>Kumar, D., &amp; Maheswaran, S. (2014b). Modeling and forecasting the additive bias corrected extreme value volatility estimator. International Review of Financial Analysis, 34, 166-176. https://doi.org/10.1016/j.irfa.2014.06.002</w:t>
      </w:r>
    </w:p>
    <w:p>
      <w:pPr>
        <w:spacing w:after="80" w:line="240" w:lineRule="auto"/>
        <w:ind w:left="403" w:hanging="403"/>
        <w:jc w:val="left"/>
      </w:pPr>
      <w:r>
        <w:rPr>
          <w:rFonts w:ascii="Times New Roman" w:hAnsi="Times New Roman"/>
          <w:sz w:val="21"/>
        </w:rPr>
        <w:t>Lesmond, D. A. (2005). Liquidity of emerging markets. Journal of Financial Economics, 77(2), 411-452.</w:t>
      </w:r>
    </w:p>
    <w:p>
      <w:pPr>
        <w:spacing w:after="80" w:line="240" w:lineRule="auto"/>
        <w:ind w:left="403" w:hanging="403"/>
        <w:jc w:val="left"/>
      </w:pPr>
      <w:r>
        <w:rPr>
          <w:rFonts w:ascii="Times New Roman" w:hAnsi="Times New Roman"/>
          <w:sz w:val="21"/>
        </w:rPr>
        <w:t>Lo, A. W., &amp; MacKinlay, A. C. (1990). An econometric analysis of nonsynchronous trading. Journal of Econometrics, 45(1-2), 181-211.</w:t>
      </w:r>
    </w:p>
    <w:p>
      <w:pPr>
        <w:spacing w:after="80" w:line="240" w:lineRule="auto"/>
        <w:ind w:left="403" w:hanging="403"/>
        <w:jc w:val="left"/>
      </w:pPr>
      <w:r>
        <w:rPr>
          <w:rFonts w:ascii="Times New Roman" w:hAnsi="Times New Roman"/>
          <w:sz w:val="21"/>
        </w:rPr>
        <w:t>Maheswaran, S., &amp; Kumar, D. (2013). An automatic bias correction procedure for volatility estimation using extreme values of asset prices. Economic Modelling, 33, 701-712. https://doi.org/10.1016/j.econmod.2013.05.019</w:t>
      </w:r>
    </w:p>
    <w:p>
      <w:pPr>
        <w:spacing w:after="80" w:line="240" w:lineRule="auto"/>
        <w:ind w:left="403" w:hanging="403"/>
        <w:jc w:val="left"/>
      </w:pPr>
      <w:r>
        <w:rPr>
          <w:rFonts w:ascii="Times New Roman" w:hAnsi="Times New Roman"/>
          <w:sz w:val="21"/>
        </w:rPr>
        <w:t>Martens, M., &amp; van Dijk, D. (2007). Measuring volatility with the realized range. Journal of Econometrics, 138(1), 181-207.</w:t>
      </w:r>
    </w:p>
    <w:p>
      <w:pPr>
        <w:spacing w:after="80" w:line="240" w:lineRule="auto"/>
        <w:ind w:left="403" w:hanging="403"/>
        <w:jc w:val="left"/>
      </w:pPr>
      <w:r>
        <w:rPr>
          <w:rFonts w:ascii="Times New Roman" w:hAnsi="Times New Roman"/>
          <w:sz w:val="21"/>
        </w:rPr>
        <w:t>Molnár, P. (2012). Properties of range-based volatility estimators. International Review of Financial Analysis, 23, 20-29.</w:t>
      </w:r>
    </w:p>
    <w:p>
      <w:pPr>
        <w:spacing w:after="80" w:line="240" w:lineRule="auto"/>
        <w:ind w:left="403" w:hanging="403"/>
        <w:jc w:val="left"/>
      </w:pPr>
      <w:r>
        <w:rPr>
          <w:rFonts w:ascii="Times New Roman" w:hAnsi="Times New Roman"/>
          <w:sz w:val="21"/>
        </w:rPr>
        <w:t>Montiel Olea, J. L., &amp; Pflueger, C. (2013). A robust test for weak instruments. Journal of Business &amp; Economic Statistics, 31(3), 358-369.</w:t>
      </w:r>
    </w:p>
    <w:p>
      <w:pPr>
        <w:spacing w:after="80" w:line="240" w:lineRule="auto"/>
        <w:ind w:left="403" w:hanging="403"/>
        <w:jc w:val="left"/>
      </w:pPr>
      <w:r>
        <w:rPr>
          <w:rFonts w:ascii="Times New Roman" w:hAnsi="Times New Roman"/>
          <w:sz w:val="21"/>
        </w:rPr>
        <w:t>Neupane, B., Neupane, D., &amp; Baral, P. (2022). Trading volume, trading price, trading frequency and stock return volatility of Everest Bank Limited. Pravaha, 28(1), 45-52.</w:t>
      </w:r>
    </w:p>
    <w:p>
      <w:pPr>
        <w:spacing w:after="80" w:line="240" w:lineRule="auto"/>
        <w:ind w:left="403" w:hanging="403"/>
        <w:jc w:val="left"/>
      </w:pPr>
      <w:r>
        <w:rPr>
          <w:rFonts w:ascii="Times New Roman" w:hAnsi="Times New Roman"/>
          <w:sz w:val="21"/>
        </w:rPr>
        <w:t>Newey, W. K., &amp; West, K. D. (1987). A simple, positive semi-definite, heteroskedasticity and autocorrelation consistent covariance matrix. Econometrica, 55(3), 703-708. https://doi.org/10.2307/1913610</w:t>
      </w:r>
    </w:p>
    <w:p>
      <w:pPr>
        <w:spacing w:after="80" w:line="240" w:lineRule="auto"/>
        <w:ind w:left="403" w:hanging="403"/>
        <w:jc w:val="left"/>
      </w:pPr>
      <w:r>
        <w:rPr>
          <w:rFonts w:ascii="Times New Roman" w:hAnsi="Times New Roman"/>
          <w:sz w:val="21"/>
        </w:rPr>
        <w:t>Parkinson, M. (1980). The extreme value method for estimating the variance of the rate of return. Journal of Business, 53(1), 61-65. https://doi.org/10.1086/296071</w:t>
      </w:r>
    </w:p>
    <w:p>
      <w:pPr>
        <w:spacing w:after="80" w:line="240" w:lineRule="auto"/>
        <w:ind w:left="403" w:hanging="403"/>
        <w:jc w:val="left"/>
      </w:pPr>
      <w:r>
        <w:rPr>
          <w:rFonts w:ascii="Times New Roman" w:hAnsi="Times New Roman"/>
          <w:sz w:val="21"/>
        </w:rPr>
        <w:t>Patton, A. J. (2011). Volatility forecast comparison using imperfect volatility proxies. Journal of Econometrics, 160(1), 246-256.</w:t>
      </w:r>
    </w:p>
    <w:p>
      <w:pPr>
        <w:spacing w:after="80" w:line="240" w:lineRule="auto"/>
        <w:ind w:left="403" w:hanging="403"/>
        <w:jc w:val="left"/>
      </w:pPr>
      <w:r>
        <w:rPr>
          <w:rFonts w:ascii="Times New Roman" w:hAnsi="Times New Roman"/>
          <w:sz w:val="21"/>
        </w:rPr>
        <w:t>Politis, D. N., &amp; Romano, J. P. (1994). The stationary bootstrap. Journal of the American Statistical Association, 89(428), 1303-1313.</w:t>
      </w:r>
    </w:p>
    <w:p>
      <w:pPr>
        <w:spacing w:after="80" w:line="240" w:lineRule="auto"/>
        <w:ind w:left="403" w:hanging="403"/>
        <w:jc w:val="left"/>
      </w:pPr>
      <w:r>
        <w:rPr>
          <w:rFonts w:ascii="Times New Roman" w:hAnsi="Times New Roman"/>
          <w:sz w:val="21"/>
        </w:rPr>
        <w:t>Rogers, L. C. G., &amp; Satchell, S. E. (1991). Estimating variance from high, low and closing prices. Annals of Applied Probability, 1(4), 504-512. https://doi.org/10.1214/aoap/1177005835</w:t>
      </w:r>
    </w:p>
    <w:p>
      <w:pPr>
        <w:spacing w:after="80" w:line="240" w:lineRule="auto"/>
        <w:ind w:left="403" w:hanging="403"/>
        <w:jc w:val="left"/>
      </w:pPr>
      <w:r>
        <w:rPr>
          <w:rFonts w:ascii="Times New Roman" w:hAnsi="Times New Roman"/>
          <w:sz w:val="21"/>
        </w:rPr>
        <w:t>Roll, R. (1984). A simple implicit measure of the effective bid-ask spread in an efficient market. Journal of Finance, 39(4), 1127-1139.</w:t>
      </w:r>
    </w:p>
    <w:p>
      <w:pPr>
        <w:spacing w:after="80" w:line="240" w:lineRule="auto"/>
        <w:ind w:left="403" w:hanging="403"/>
        <w:jc w:val="left"/>
      </w:pPr>
      <w:r>
        <w:rPr>
          <w:rFonts w:ascii="Times New Roman" w:hAnsi="Times New Roman"/>
          <w:sz w:val="21"/>
        </w:rPr>
        <w:t>Scholes, M., &amp; Williams, J. (1977). Estimating betas from nonsynchronous data. Journal of Financial Economics, 5(3), 309-327.</w:t>
      </w:r>
    </w:p>
    <w:p>
      <w:pPr>
        <w:spacing w:after="80" w:line="240" w:lineRule="auto"/>
        <w:ind w:left="403" w:hanging="403"/>
        <w:jc w:val="left"/>
      </w:pPr>
      <w:r>
        <w:rPr>
          <w:rFonts w:ascii="Times New Roman" w:hAnsi="Times New Roman"/>
          <w:sz w:val="21"/>
        </w:rPr>
        <w:t>Stoll, H. R., &amp; Whaley, R. E. (1990). Stock market structure and volatility. Review of Financial Studies, 3(1), 37-71. https://doi.org/10.1093/rfs/3.1.37</w:t>
      </w:r>
    </w:p>
    <w:p>
      <w:pPr>
        <w:spacing w:after="80" w:line="240" w:lineRule="auto"/>
        <w:ind w:left="403" w:hanging="403"/>
        <w:jc w:val="left"/>
      </w:pPr>
      <w:r>
        <w:rPr>
          <w:rFonts w:ascii="Times New Roman" w:hAnsi="Times New Roman"/>
          <w:sz w:val="21"/>
        </w:rPr>
        <w:t>Wilder, J. W. (1978). New concepts in technical trading systems. Trend Research.</w:t>
      </w:r>
    </w:p>
    <w:p>
      <w:pPr>
        <w:spacing w:after="80" w:line="240" w:lineRule="auto"/>
        <w:ind w:left="403" w:hanging="403"/>
        <w:jc w:val="left"/>
      </w:pPr>
      <w:r>
        <w:rPr>
          <w:rFonts w:ascii="Times New Roman" w:hAnsi="Times New Roman"/>
          <w:sz w:val="21"/>
        </w:rPr>
        <w:t>Yang, D., &amp; Zhang, Q. (2000). Drift-independent volatility estimation based on high, low, open, and close prices. Journal of Business, 73(3), 477-492.</w:t>
      </w:r>
    </w:p>
    <w:p>
      <w:pPr>
        <w:spacing w:after="80" w:line="240" w:lineRule="auto"/>
        <w:ind w:left="403" w:hanging="403"/>
        <w:jc w:val="left"/>
      </w:pPr>
      <w:r>
        <w:rPr>
          <w:rFonts w:ascii="Times New Roman" w:hAnsi="Times New Roman"/>
          <w:sz w:val="21"/>
        </w:rPr>
        <w:t>Zhang, L., Mykland, P. A., &amp; Aït-Sahalia, Y. (2005). A tale of two time scales: Determining integrated volatility with noisy high-frequency data. Journal of the American Statistical Association, 100(472), 1394-1411.</w:t>
      </w:r>
    </w:p>
    <w:p>
      <w:pPr>
        <w:spacing w:after="80" w:line="240" w:lineRule="auto"/>
        <w:ind w:left="403" w:hanging="403"/>
        <w:jc w:val="left"/>
      </w:pPr>
      <w:r>
        <w:rPr>
          <w:rFonts w:ascii="Times New Roman" w:hAnsi="Times New Roman"/>
          <w:sz w:val="21"/>
        </w:rPr>
        <w:t>Zhou, B. (1996). High-frequency data and volatility in foreign-exchange rates. Journal of Business &amp; Economic Statistics, 14(1), 45-52.</w:t>
      </w:r>
    </w:p>
    <w:p>
      <w:pPr>
        <w:spacing w:before="120" w:after="120"/>
        <w:jc w:val="left"/>
      </w:pPr>
      <w:r>
        <w:rPr>
          <w:b/>
        </w:rPr>
        <w:t>Data and reproducibility note. Empirical quantities in this manuscript are drawn from the accompanying paper-specific NEPSE volatility package, and every number in the text is interpolated from that package's frozen output tables by the revision scripts in paper/ (apply_referee_revisions.py through apply_round19_revisions.py) rather than transcribed. Retained claims are backed by producer scripts, frozen tables or figures, or directly auditable source artifacts. The package includes processed paper-facing data, external validation series, the external NEPSE security master used to validate the instrument classification, a compact duplicate audit, and a reproducibility map; original stock-level source downloads are not publicly redistributed because their redistribution terms remain unresolved. The empirical analyses are descriptive and exploratory unless explicitly stated otherwise; the forward India VIX test of Section 6.3, the analyses of Sections 6.6 and 6.7 and the forecast evaluations of Section 6.8 (plans M16-M18 and the corrected plan M20) follow analysis plans frozen before their results existed, and their post hoc follow-ups are labelled as such.</w:t>
      </w:r>
      <w:r/>
      <w:r>
        <w:rPr>
          <w:b w:val="0"/>
        </w:rPr>
      </w:r>
    </w:p>
    <w:p>
      <w:pPr>
        <w:pStyle w:val="Heading1"/>
        <w:spacing w:before="120" w:after="120"/>
        <w:jc w:val="left"/>
      </w:pPr>
      <w:r>
        <w:rPr>
          <w:b/>
        </w:rPr>
        <w:t>Appendix A. A bound on the opening error that does not assume independence from news</w:t>
      </w:r>
    </w:p>
    <w:p>
      <w:pPr>
        <w:spacing w:before="120" w:after="120"/>
        <w:jc w:val="left"/>
      </w:pPr>
      <w:r>
        <w:rPr>
          <w:b/>
        </w:rPr>
        <w:t>Write the overnight and intraday returns as o = e_o + η - ε_prev and c = e_c - η + ε, where e_o and e_c are efficient returns, η is the open's transient error and ε the close's. Assume only what the unbiasedness regression needs: e_o and e_c are uncorrelated, and η and ε are uncorrelated with e_c, with each other and with earlier closing errors. η may be correlated with e_o in either direction. Then -E[o c] = E[e_o η] + E[η²], and E[o²] = E[e_o²] + 2E[e_o η] + E[η²] + E[ε²], all raw second moments, as in b. If E[e_o η] ≥ 0, then E[e_o²] ≤ E[o²] and, by Cauchy-Schwarz, -E[o c] ≤ (E[o²]E[η²])^½ + E[η²]; solving for E[η²] with -E[o c] = (1 - b)E[o²] gives E[η²] ≥ E[o²]·((√(5 - 4b) - 1)/2)². If E[e_o η] &lt; 0, then E[η²] &gt; -E[o c] = (1 - b)E[o²], which exceeds the same bound because ((√(1 + 4x) - 1)/2)² ≤ x for x ≥ 0. The bound therefore holds whatever the sign or size of the error's correlation with news. It is not sharp, and earlier versions of this appendix were wrong to say that it is attained when η is perfectly correlated with e_o (corrected in round 17). Write o* = e_o - ε_prev for the efficient open measured from the printed previous close, so that o = o* + η and b o is the best linear predictor of o*. Then η = (1 - b)o - (o* - b o), and E[η²] = (1 - b)²E[o²] + E[(o* - b o)²] ≥ (1 - b)²E[o²]. This is the sharp bound. It is attained exactly when o* = b o, which for b &gt; 0 means that η is proportional to o*, and it exceeds the bound above for every b &lt; 1. Under independence E[η²] = (1 - b)E[o²]. The weaker bound and the independence value are reported as shares of the open-to-close proxy, E[c²], in Table 32 and in table97_m15_posthoc.csv, where the bound was computed after the frozen results were seen. The sharp bound, also post hoc, puts the open's error at no less than 10.8% [7.8%, 14.5%] of the proxy in the first regime, against 5.0% for the weaker bound, and at no less than 41.7% [32.3%, 49.4%] after the reform, against 17.2% (table122_theory_applications.csv; proof in the theory supplement, Proposition 1).</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7"/>
      </w:rPr>
      <w:t>Volatility Estimation in Frontier Markets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Times New Roman" w:hAnsi="Times New Roman" w:eastAsia="Times New Roman"/>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Calculating Volatility in Frontier Markets Without Options</dc:title>
  <dc:subject>NEPSE volatility estimation using OHLC data</dc:subject>
  <dc:creator>Anam Giri</dc:creator>
  <cp:keywords>NEPSE, volatility, frontier markets, Parkinson, Rogers-Satchell, implied volatility</cp:keywords>
  <dc:description>generated by python-docx</dc:description>
  <cp:lastModifiedBy/>
  <cp:revision>1</cp:revision>
  <dcterms:created xsi:type="dcterms:W3CDTF">2013-12-23T23:15:00Z</dcterms:created>
  <dcterms:modified xsi:type="dcterms:W3CDTF">2013-12-23T23:15:00Z</dcterms:modified>
  <cp:category/>
</cp:coreProperties>
</file>