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When the Open Overreacts: Measuring Daily Volatility in Frontier Markets without Options</w:t>
      </w:r>
    </w:p>
    <w:p>
      <w:r>
        <w:rPr>
          <w:b w:val="0"/>
        </w:rPr>
        <w:t>Evidence from Nepal's Pre-Open Band Reform and an Estimator Tested in Four Frontier Markets</w:t>
      </w:r>
    </w:p>
    <w:p>
      <w:r>
        <w:rPr>
          <w:b w:val="0"/>
        </w:rPr>
      </w:r>
    </w:p>
    <w:p>
      <w:r>
        <w:rPr>
          <w:b/>
        </w:rPr>
        <w:t>[AUTHOR DETAILS WITHHELD]</w:t>
      </w:r>
    </w:p>
    <w:p>
      <w:r>
        <w:rPr>
          <w:b w:val="0"/>
        </w:rPr>
        <w:t>Affiliation: [to be completed]</w:t>
      </w:r>
    </w:p>
    <w:p>
      <w:r>
        <w:rPr>
          <w:b w:val="0"/>
        </w:rPr>
        <w:t>Corresponding author: [name], [postal address]</w:t>
      </w:r>
    </w:p>
    <w:p>
      <w:r>
        <w:rPr>
          <w:b w:val="0"/>
        </w:rPr>
        <w:t>Email: [to be completed]    ORCID: [to be completed]</w:t>
      </w:r>
    </w:p>
    <w:p>
      <w:r>
        <w:rPr>
          <w:b w:val="0"/>
        </w:rPr>
      </w:r>
    </w:p>
    <w:p>
      <w:pPr>
        <w:pStyle w:val="Heading1"/>
      </w:pPr>
      <w:r>
        <w:rPr>
          <w:b w:val="0"/>
        </w:rPr>
        <w:t>Declarations</w:t>
      </w:r>
    </w:p>
    <w:p>
      <w:r>
        <w:rPr>
          <w:b w:val="0"/>
        </w:rPr>
        <w:t>Funding. The author received no specific funding for this work.</w:t>
      </w:r>
    </w:p>
    <w:p>
      <w:r>
        <w:rPr>
          <w:b w:val="0"/>
        </w:rPr>
        <w:t>Conflicts of interest. The author declares no competing interests.</w:t>
      </w:r>
    </w:p>
    <w:p>
      <w:r>
        <w:rPr>
          <w:b w:val="0"/>
        </w:rPr>
        <w:t>Data availability. A reproducibility package accompanies this submission. It contains the frozen paper-facing panels, the external market series, the NEPSE security master used to validate the instrument classification, every producer script, a claim-to-producer-to-output reproducibility map, an audit register, and a test suite. The original stock-level NEPSE downloads are not redistributed because their redistribution terms are unresolved; the build script is included as the complete cleaning specification and the processed panels are sufficient to reproduce every NEPSE and index result. The Bangladeshi, Vietnamese and Moroccan results need third-party files that the package documents and pins by digest but does not redistribute; a run without them reports itself as a partial reproduction.</w:t>
      </w:r>
    </w:p>
    <w:p>
      <w:r>
        <w:rPr>
          <w:b w:val="0"/>
        </w:rPr>
        <w:t>Ethics. Not applicable. The study uses aggregate market price data only.</w:t>
      </w:r>
    </w:p>
    <w:p>
      <w:r>
        <w:rPr>
          <w:b w:val="0"/>
        </w:rPr>
        <w:t>AI use. Analysis code and manuscript revisions were prepared with computational assistance; all empirical results are produced by the included scripts, and those on the NEPSE panels and the two indices are reproducible from the package alone.</w:t>
      </w:r>
    </w:p>
    <w:p>
      <w:r>
        <w:rPr>
          <w:b w:val="0"/>
        </w:rPr>
      </w:r>
    </w:p>
    <w:p>
      <w:pPr>
        <w:pStyle w:val="Heading1"/>
      </w:pPr>
      <w:r>
        <w:rPr>
          <w:b w:val="0"/>
        </w:rPr>
        <w:t>Abstract (short form for the title page)</w:t>
      </w:r>
    </w:p>
    <w:p>
      <w:r>
        <w:rPr>
          <w:b w:val="0"/>
        </w:rPr>
        <w:t>Nepal has no exchange-traded options and no public intraday data, so its volatility must be measured from daily open-high-low-close bars. This paper shows that the bar's opening price is mostly transient: the trading session undoes most of the overnight move. NEPSE's 2026 rule package, which widened its pre-open price band, coincided with a sharp change in what daily bars measure. The paper builds an estimator for markets whose open is unreliable, tests it out of sample in four frontier markets and two benchmark indices, and retests it against forecasts built from returns alone after an audit corrected the evaluation. No estimator is claimed to dominate close-to-close everywhere.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