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Investment Management and Financial Innovations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Investment Management and Financial Innovations.</w:t>
      </w:r>
    </w:p>
    <w:p>
      <w:r>
        <w:rPr>
          <w:b w:val="0"/>
        </w:rPr>
        <w:t>Its scope covers capital markets, market efficiency and empirical quantitative finance, and it regularly publishes emerging-market price-volatility work.</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and Moroccan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