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Journal of Empirical Finance</w:t>
      </w:r>
    </w:p>
    <w:p>
      <w:r>
        <w:rPr>
          <w:b w:val="0"/>
        </w:rPr>
        <w:t>[Date]</w:t>
      </w:r>
    </w:p>
    <w:p>
      <w:r>
        <w:rPr>
          <w:b w:val="0"/>
        </w:rPr>
      </w:r>
    </w:p>
    <w:p>
      <w:r>
        <w:rPr>
          <w:b w:val="0"/>
        </w:rPr>
        <w:t>Dear Editors,</w:t>
      </w:r>
    </w:p>
    <w:p>
      <w:r>
        <w:rPr>
          <w:b w:val="0"/>
        </w:rPr>
      </w:r>
    </w:p>
    <w:p>
      <w:r>
        <w:rPr>
          <w:b w:val="0"/>
        </w:rPr>
        <w:t>I am submitting "When the Open Overreacts: Measuring Daily Volatility in Frontier Markets without Options — Evidence from Nepal's Pre-Open Band Reform and an Estimator Tested in Four Frontier Markets" for consideration at Journal of Empirical Finance.</w:t>
      </w:r>
    </w:p>
    <w:p>
      <w:r>
        <w:rPr>
          <w:b w:val="0"/>
        </w:rPr>
        <w:t>It publishes empirical work on volatility measurement and market design, and this paper combines both: a calibration test for daily-bar volatility estimators, evidence that a change in market-design rules coincided with a change in what those estimators measure, and an estimator built on that evidence and tested out of sample in four frontier markets, against return-only forecasts.</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and a post hoc split places the error in each security's own auction rather than in the market-wide move. NEPSE's 20 April 2026 rule package, which widened its pre-open band from +/-2% to +/-5%, is analysed as an event under a plan frozen before testing: it coincided with a sharp break in how much of the open survives to the close, larger than at any of 77 placebo dates, and opens pinned at the old band had been reversed rather than continued, which is consistent with the narrow band capping overreaction without delaying price discovery; the band's separate effect is not identified.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tests each estimator's calibration with volatility persistence as the instrument, without a high-frequency benchmark: a unit slope is not rejected for the range estimators, although the instruments' validity is assumed and their first stage is weak with clustered errors. The earlier results remain: range estimators do not collapse in thin ordinary equity, and apparent estimator failure in a pooled frontier-market universe is largely an instrument-composition artifact. The paper then builds on this evidence: a new daily-bar estimator that weights the overnight move by the open's measured reliability, extends the range to the effective open and calibrates to close-to-close variance, designed on part of the NEPSE sample and tested out of sample under three further frozen plans in Nepal, Bangladesh, Vietnam, Morocco and two benchmark indices. An independent audit then found defects in that forecast evaluation; a corrected evaluation, frozen before it was run, finds that the estimator's open-free form beats close-to-close at five sessions in six of the seven samples, but that forecasts built from returns alone (GARCH-type and HAR models) are about as accurate in most of them. Both evaluations are reported, and a prospective test on sessions after the audit is frozen.</w:t>
      </w:r>
    </w:p>
    <w:p>
      <w:r>
        <w:rPr>
          <w:b w:val="0"/>
        </w:rPr>
      </w:r>
    </w:p>
    <w:p>
      <w:r>
        <w:rPr>
          <w:b w:val="0"/>
        </w:rPr>
        <w:t>What the paper does not claim. Latent variance is unobserved, so results are reported relative to stated benchmarks, and no estimator is claimed to dominate generally. The band reform was one part of a rule package that also changed the daily limit, the continuous-session order band, the circuit breaker and the queuing of orders entered before the session on the same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 In the corrected evaluation the new estimator's full form does not beat close-to-close at short horizons in the primary panel of any of the four frontier markets, close-to-close beat both forms immediately after NEPSE's rule change, and a range-based forecast beats the best return-only forecast in only two of seven samples; those results are reported as they are. Its level on the close-to-close scale comes from its calibration, which the classical estimators can be given too, and its record against close-to-close changes with the loss function; a post hoc recheck reports both.</w:t>
      </w:r>
    </w:p>
    <w:p>
      <w:r>
        <w:rPr>
          <w:b w:val="0"/>
        </w:rPr>
      </w:r>
    </w:p>
    <w:p>
      <w:r>
        <w:rPr>
          <w:b w:val="0"/>
        </w:rPr>
        <w:t>Reproducibility. A reproducibility package accompanies the submission: frozen data, producer scripts, a claim-to-output reproducibility map, an audit register recording defects found and fixed, and a test suite that fails if the manuscript and the package disagree. It reproduces every result on the NEPSE panels and the two indices; the Bangladeshi, Vietnamese and Moroccan results need third-party files that it documents and pins by digest but cannot redistribute, and a run without them reports itself as partial.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