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Investment Management and Financial Innovations</w:t>
      </w:r>
    </w:p>
    <w:p>
      <w:r>
        <w:rPr>
          <w:b w:val="0"/>
        </w:rPr>
        <w:t>[Date]</w:t>
      </w:r>
    </w:p>
    <w:p>
      <w:r>
        <w:rPr>
          <w:b w:val="0"/>
        </w:rPr>
      </w:r>
    </w:p>
    <w:p>
      <w:r>
        <w:rPr>
          <w:b w:val="0"/>
        </w:rPr>
        <w:t>Dear Editors,</w:t>
      </w:r>
    </w:p>
    <w:p>
      <w:r>
        <w:rPr>
          <w:b w:val="0"/>
        </w:rPr>
      </w:r>
    </w:p>
    <w:p>
      <w:r>
        <w:rPr>
          <w:b w:val="0"/>
        </w:rPr>
        <w:t>I am submitting "When the Open Overreacts: Measuring Daily Volatility in Frontier Markets without Options — Evidence from Nepal's Pre-Open Band Reform and an Estimator Tested in Four Frontier Markets" for consideration at Investment Management and Financial Innovations.</w:t>
      </w:r>
    </w:p>
    <w:p>
      <w:r>
        <w:rPr>
          <w:b w:val="0"/>
        </w:rPr>
        <w:t>Its scope covers capital markets, market efficiency and empirical quantitative finance, and it regularly publishes emerging-market price-volatility work.</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and a post hoc split places the error in each security's own auction rather than in the market-wide move. NEPSE's 20 April 2026 widening of its pre-open band from +/-2% to +/-5% is used as a natural experiment, under an analysis plan frozen before testing: it produced a sharp break in how much of the open survives to the close, larger than at any of 77 placebo dates, and opens pinned at the old band had been reversed rather than continued -- the narrow band capped overreaction without detectably delaying price discovery.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identifies each estimator's calibration from volatility persistence without a high-frequency benchmark and shows the range estimators' near-unit ratios to be calibration, not offsetting distortions. The earlier results remain: range estimators do not collapse in thin ordinary equity, and apparent estimator failure in a pooled frontier-market universe is largely an instrument-composition artifact. The paper then builds on this evidence: a new daily-bar estimator that weights the overnight move by the open's measured reliability, extends the range to the effective open and calibrates to close-to-close variance, designed on part of the NEPSE sample and tested out of sample under three further frozen plans. No classical range estimator forecasts significantly better than it in any of seven test samples across Nepal, Bangladesh, Vietnam, Morocco and two benchmark indices, and its open-free form passed a test fixed in advance in Morocco.</w:t>
      </w:r>
    </w:p>
    <w:p>
      <w:r>
        <w:rPr>
          <w:b w:val="0"/>
        </w:rPr>
      </w:r>
    </w:p>
    <w:p>
      <w:r>
        <w:rPr>
          <w:b w:val="0"/>
        </w:rPr>
        <w:t>What the paper does not claim. Latent variance is unobserved, so results are reported relative to stated benchmarks, and no estimator is claimed to dominate generally. The band reform was one part of a rule package that also changed the daily limit, the continuous-session order band, the circuit breaker and the queuing of orders entered before the session on the same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 The new estimator does not beat close-to-close at short horizons in the primary panels of three of the four frontier markets, and close-to-close beat it immediately after NEPSE's rule change; those failed predictions are reported as such. Its level on the close-to-close scale comes from its calibration, which the classical estimators can be given too, and its record against close-to-close changes with the loss function; a post hoc recheck reports both.</w:t>
      </w:r>
    </w:p>
    <w:p>
      <w:r>
        <w:rPr>
          <w:b w:val="0"/>
        </w:rPr>
      </w:r>
    </w:p>
    <w:p>
      <w:r>
        <w:rPr>
          <w:b w:val="0"/>
        </w:rPr>
        <w:t>Reproducibility. A complete package accompanies the submission: frozen data, producer scripts, a claim-to-output reproducibility map, an audit register recording defects found and fixed, and a test suite that fails if the manuscript and the package disagree.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