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Empirical Finance</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Empirical Finance.</w:t>
      </w:r>
    </w:p>
    <w:p>
      <w:r>
        <w:rPr>
          <w:b w:val="0"/>
        </w:rPr>
        <w:t>It publishes empirical work on volatility measurement and market design, and this paper combines both: a calibration test for daily-bar volatility estimators, evidence that a market-design rule change altered what those estimators measure, and an estimator built on that evidence and tested out of sample in four frontier markets.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forecasts significantly better than it in any of seven test samples across Nepal, Bangladesh, Vietnam, Morocco and two benchmark indices, and its open-free form passed a test fixed in advance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the primary panels of three of the four frontier markets, and close-to-close beat it immediately after NEPSE's rule change; those failed predictions are reported as such.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