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Asian Journal of Economics and Banking</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Asian Journal of Economics and Banking.</w:t>
      </w:r>
    </w:p>
    <w:p>
      <w:r>
        <w:rPr>
          <w:b w:val="0"/>
        </w:rPr>
        <w:t>Its scope covers Asian financial systems, risk management, volatility clustering and statistical methods in finance, which is where a measurement study of a frontier Asian cash market belongs.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beats it in any of seven test samples across Nepal, Bangladesh, Vietnam, Morocco and two benchmark indices, and outside NEPSE's post-reform regime its level is within 1.1% of close-to-close variance; its open-free form passed a pre-registered test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three of the four frontier markets, and close-to-close beat it immediately after NEPSE's rule change; those failed predictions are reported as such.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