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Risk and Financial Management</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Risk and Financial Management.</w:t>
      </w:r>
    </w:p>
    <w:p>
      <w:r>
        <w:rPr>
          <w:b w:val="0"/>
        </w:rPr>
        <w:t>Its scope covers financial markets, mathematical methods in finance and risk analysis, and it asks for enough methodological detail to reproduce the work -- which this submission supplies in full for its NEPSE and index results, and for its other markets up to third-party data files that it documents but cannot redistribute.</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rule package, which widened its pre-open band from +/-2% to +/-5%, is analysed as an event under a plan frozen before testing: it coincided with a sharp break in how much of the open survives to the close, larger than at any of 77 placebo dates, and opens pinned at the old band had been reversed rather than continued, which is consistent with the narrow band capping overreaction without delaying price discovery; the band's separate effect is not identified.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tests each estimator's calibration with volatility persistence as the instrument, without a high-frequency benchmark: a unit slope is not rejected for the range estimators, although the instruments' validity is assumed and their first stage is weak with clustered errors.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in Nepal, Bangladesh, Vietnam, Morocco and two benchmark indices. An independent audit then found defects in that forecast evaluation; a corrected evaluation, frozen before it was run, finds that the estimator's open-free form beats close-to-close at five sessions in six of the seven samples, but that forecasts built from returns alone (GARCH-type and HAR models) are about as accurate in most of them. Both evaluations are reported, and a prospective test on sessions after the audit is frozen. A second estimator then reads the overnight move of a stock whose open printed at the previous close from the other stocks' opens, and gives the forecast factor-HAR dynamics. Under a further plan, frozen before it was tested, it has lower loss than the corrected evaluation's most accurate forecast at five sessions in three of six frontier-market panels, including Pakistan's, a market that played no part in its design, and higher loss in none.</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In the corrected evaluation the new estimator's full form does not beat close-to-close at short horizons in the primary panel of any of the four frontier markets, close-to-close beat both forms immediately after NEPSE's rule change, and a range-based forecast beats the best return-only forecast in only two of seven samples; those results are reported as they are. Its level on the close-to-close scale comes from its calibration, which the classical estimators can be given too, and its record against close-to-close changes with the loss function; a post hoc recheck reports both. The second estimator was designed when the corrected evaluation's results on its other test spans were known, and most of its gain comes from its dynamics rather than from the market-implied open, which helps detectably only where stale prices are pervasive.</w:t>
      </w:r>
    </w:p>
    <w:p>
      <w:r>
        <w:rPr>
          <w:b w:val="0"/>
        </w:rPr>
      </w:r>
    </w:p>
    <w:p>
      <w:r>
        <w:rPr>
          <w:b w:val="0"/>
        </w:rPr>
        <w:t>Reproducibility. A reproducibility package accompanies the submission: frozen data, producer scripts, a claim-to-output reproducibility map, an audit register recording defects found and fixed, and a test suite that fails if the manuscript and the package disagree. It reproduces every result on the NEPSE panels and the two indices; the Bangladeshi, Vietnamese, Moroccan and Pakistani results need third-party files that it documents and pins by digest but cannot redistribute, and a run without them reports itself as partial.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