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Journal of Empirical Finance</w:t>
      </w:r>
    </w:p>
    <w:p>
      <w:r>
        <w:rPr>
          <w:b w:val="0"/>
        </w:rPr>
        <w:t>[Date]</w:t>
      </w:r>
    </w:p>
    <w:p>
      <w:r>
        <w:rPr>
          <w:b w:val="0"/>
        </w:rPr>
      </w:r>
    </w:p>
    <w:p>
      <w:r>
        <w:rPr>
          <w:b w:val="0"/>
        </w:rPr>
        <w:t>Dear Editors,</w:t>
      </w:r>
    </w:p>
    <w:p>
      <w:r>
        <w:rPr>
          <w:b w:val="0"/>
        </w:rPr>
      </w:r>
    </w:p>
    <w:p>
      <w:r>
        <w:rPr>
          <w:b w:val="0"/>
        </w:rPr>
        <w:t>I am submitting "When the Open Overreacts: Measuring Daily Volatility in Frontier Markets without Options — Evidence from Nepal's Pre-Open Band Reform and an Estimator Tested in Four Frontier Markets" for consideration at Journal of Empirical Finance.</w:t>
      </w:r>
    </w:p>
    <w:p>
      <w:r>
        <w:rPr>
          <w:b w:val="0"/>
        </w:rPr>
        <w:t>It publishes empirical work on volatility measurement and market design, and this paper combines both: a calibration test for daily-bar volatility estimators, evidence that a market-design rule change altered what those estimators measure, and an estimator built on that evidence and tested out of sample in four frontier markets.</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The central evidence is about the opening price, which every within-session estimator and the usual open-to-close benchmark read. In NEPSE it is mostly transient: the trading session undoes 64-87% of the overnight move, and a post hoc split places the error in each security's own auction rather than in the market-wide move. NEPSE's 20 April 2026 widening of its pre-open band from +/-2% to +/-5% is used as a natural experiment, under an analysis plan frozen before testing: it produced a sharp break in how much of the open survives to the close, larger than at any of 77 placebo dates, and opens pinned at the old band had been reversed rather than continued -- the narrow band capped overreaction without detectably delaying price discovery. Three consequences follow for measurement: three-quarters of Yang-Zhang's excess over close-to-close variance is the overnight-intraday covariance it assumes away; ratio comparisons against the open-to-close benchmark cannot see the open's error; and close-to-close returns, which never read the open, are the robust benchmark. A second frozen analysis identifies each estimator's calibration from volatility persistence without a high-frequency benchmark and shows the range estimators' near-unit ratios to be calibration, not offsetting distortions. The earlier results remain: range estimators do not collapse in thin ordinary equity, and apparent estimator failure in a pooled frontier-market universe is largely an instrument-composition artifact. The paper then builds on this evidence: a new daily-bar estimator that weights the overnight move by the open's measured reliability, extends the range to the effective open and calibrates to close-to-close variance, designed on part of the NEPSE sample and tested out of sample under three further frozen plans. No classical range estimator forecasts significantly better than it in any of seven test samples across Nepal, Bangladesh, Vietnam, Morocco and two benchmark indices, and its open-free form passed a test fixed in advance in Morocco.</w:t>
      </w:r>
    </w:p>
    <w:p>
      <w:r>
        <w:rPr>
          <w:b w:val="0"/>
        </w:rPr>
      </w:r>
    </w:p>
    <w:p>
      <w:r>
        <w:rPr>
          <w:b w:val="0"/>
        </w:rPr>
        <w:t>What the paper does not claim. Latent variance is unobserved, so results are reported relative to stated benchmarks, and no estimator is claimed to dominate generally. The band reform was one part of a rule package that also changed the daily limit, the continuous-session order band, the circuit breaker and the queuing of orders entered before the session on the same date, the post-reform sample is short, the predicted dose-response across securities was not detected, and without auction order-book data the mechanism inside the auction is not identified; the paper reports these limits and its failed predictions alongside the results. The India VIX exercise is co-movement and forecasting evidence about India, and its estimator comparison is inconclusive. The new estimator does not beat close-to-close at short horizons in the primary panels of three of the four frontier markets, and close-to-close beat it immediately after NEPSE's rule change; those failed predictions are reported as such. Its level on the close-to-close scale comes from its calibration, which the classical estimators can be given too, and its record against close-to-close changes with the loss function; a post hoc recheck reports both.</w:t>
      </w:r>
    </w:p>
    <w:p>
      <w:r>
        <w:rPr>
          <w:b w:val="0"/>
        </w:rPr>
      </w:r>
    </w:p>
    <w:p>
      <w:r>
        <w:rPr>
          <w:b w:val="0"/>
        </w:rPr>
        <w:t>Reproducibility. A complete package accompanies the submission: frozen data, producer scripts, a claim-to-output reproducibility map, an audit register recording defects found and fixed, and a test suite that fails if the manuscript and the package disagree.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