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When the Open Overreacts: Measuring Daily Volatility in a Frontier Market without Options</w:t>
      </w:r>
    </w:p>
    <w:p>
      <w:r>
        <w:rPr>
          <w:b w:val="0"/>
        </w:rPr>
        <w:t>Evidence from a Pre-Open Band Reform on the Nepal Stock Exchange</w:t>
      </w:r>
    </w:p>
    <w:p>
      <w:r>
        <w:rPr>
          <w:b w:val="0"/>
        </w:rPr>
      </w:r>
    </w:p>
    <w:p>
      <w:r>
        <w:rPr>
          <w:b/>
        </w:rPr>
        <w:t>[AUTHOR DETAILS WITHHELD]</w:t>
      </w:r>
    </w:p>
    <w:p>
      <w:r>
        <w:rPr>
          <w:b w:val="0"/>
        </w:rPr>
        <w:t>Affiliation: [to be completed]</w:t>
      </w:r>
    </w:p>
    <w:p>
      <w:r>
        <w:rPr>
          <w:b w:val="0"/>
        </w:rPr>
        <w:t>Corresponding author: [name], [postal address]</w:t>
      </w:r>
    </w:p>
    <w:p>
      <w:r>
        <w:rPr>
          <w:b w:val="0"/>
        </w:rPr>
        <w:t>Email: [to be completed]    ORCID: [to be completed]</w:t>
      </w:r>
    </w:p>
    <w:p>
      <w:r>
        <w:rPr>
          <w:b w:val="0"/>
        </w:rPr>
      </w:r>
    </w:p>
    <w:p>
      <w:pPr>
        <w:pStyle w:val="Heading1"/>
      </w:pPr>
      <w:r>
        <w:rPr>
          <w:b w:val="0"/>
        </w:rPr>
        <w:t>Declarations</w:t>
      </w:r>
    </w:p>
    <w:p>
      <w:r>
        <w:rPr>
          <w:b w:val="0"/>
        </w:rPr>
        <w:t>Funding. The author received no specific funding for this work.</w:t>
      </w:r>
    </w:p>
    <w:p>
      <w:r>
        <w:rPr>
          <w:b w:val="0"/>
        </w:rPr>
        <w:t>Conflicts of interest. The author declares no competing interests.</w:t>
      </w:r>
    </w:p>
    <w:p>
      <w:r>
        <w:rPr>
          <w:b w:val="0"/>
        </w:rPr>
        <w:t>Data availability. A reproducibility package accompanies this submission. It contains the frozen paper-facing panels, the external market series, the NEPSE security master used to validate the instrument classification, every producer script, a claim-to-producer-to-output reproducibility map, an audit register, and a test suite. The original stock-level NEPSE downloads are not redistributed because their redistribution terms are unresolved; the build script is included as the complete cleaning specification and the processed panels are sufficient to reproduce every reported result.</w:t>
      </w:r>
    </w:p>
    <w:p>
      <w:r>
        <w:rPr>
          <w:b w:val="0"/>
        </w:rPr>
        <w:t>Ethics. Not applicable. The study uses aggregate market price data only.</w:t>
      </w:r>
    </w:p>
    <w:p>
      <w:r>
        <w:rPr>
          <w:b w:val="0"/>
        </w:rPr>
        <w:t>AI use. Analysis code and manuscript revisions were prepared with computational assistance; all empirical results are produced by the included scripts and are reproducible from the package.</w:t>
      </w:r>
    </w:p>
    <w:p>
      <w:r>
        <w:rPr>
          <w:b w:val="0"/>
        </w:rPr>
      </w:r>
    </w:p>
    <w:p>
      <w:pPr>
        <w:pStyle w:val="Heading1"/>
      </w:pPr>
      <w:r>
        <w:rPr>
          <w:b w:val="0"/>
        </w:rPr>
        <w:t>Abstract (short form for the title page)</w:t>
      </w:r>
    </w:p>
    <w:p>
      <w:r>
        <w:rPr>
          <w:b w:val="0"/>
        </w:rPr>
        <w:t>Nepal has no exchange-traded options and no public intraday data, so its volatility must be measured from daily open-high-low-close bars. This paper shows that the bar's opening price is mostly transient -- the trading session undoes two-thirds or more of the overnight move -- and uses NEPSE's 2026 widening of its pre-open price band as a natural experiment showing that market design shapes what daily bars measure. It is a measurement study rather than a search for a universally superior estimator.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