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Empirical Finance</w:t>
      </w:r>
    </w:p>
    <w:p>
      <w:r>
        <w:rPr>
          <w:b w:val="0"/>
        </w:rPr>
        <w:t>[Date]</w:t>
      </w:r>
    </w:p>
    <w:p>
      <w:r>
        <w:rPr>
          <w:b w:val="0"/>
        </w:rPr>
      </w:r>
    </w:p>
    <w:p>
      <w:r>
        <w:rPr>
          <w:b w:val="0"/>
        </w:rPr>
        <w:t>Dear Editors,</w:t>
      </w:r>
    </w:p>
    <w:p>
      <w:r>
        <w:rPr>
          <w:b w:val="0"/>
        </w:rPr>
      </w:r>
    </w:p>
    <w:p>
      <w:r>
        <w:rPr>
          <w:b w:val="0"/>
        </w:rPr>
        <w:t>I am submitting "When the Open Overreacts: Measuring Daily Volatility in a Frontier Market without Options — Evidence from a Pre-Open Band Reform on the Nepal Stock Exchange" for consideration at Journal of Empirical Finance.</w:t>
      </w:r>
    </w:p>
    <w:p>
      <w:r>
        <w:rPr>
          <w:b w:val="0"/>
        </w:rPr>
        <w:t>It publishes empirical work on volatility measurement and market design, and this paper combines both: a calibration test for daily-bar volatility estimators and evidence that a market-design rule determines what those estimators measure.</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against 7% on NIFTY 50.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w:t>
      </w:r>
    </w:p>
    <w:p>
      <w:r>
        <w:rPr>
          <w:b w:val="0"/>
        </w:rPr>
      </w:r>
    </w:p>
    <w:p>
      <w:r>
        <w:rPr>
          <w:b w:val="0"/>
        </w:rPr>
        <w:t>What the paper does not claim. Latent variance is unobserved, so results are reported relative to stated benchmarks, and no estimator is claimed to dominate generally. The band reform changed the pre-open band, the daily limit and the circuit breaker on one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