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31E" w:rsidRPr="00FE479C" w:rsidRDefault="00C70CCF">
      <w:pPr>
        <w:jc w:val="center"/>
        <w:rPr>
          <w:sz w:val="24"/>
        </w:rPr>
      </w:pPr>
      <w:r w:rsidRPr="00FE479C">
        <w:rPr>
          <w:b/>
          <w:sz w:val="52"/>
        </w:rPr>
        <w:t>Descriptive Analytics Report: PhonePe</w:t>
      </w:r>
    </w:p>
    <w:p w:rsidR="009C631E" w:rsidRPr="00FE479C" w:rsidRDefault="002C5933" w:rsidP="002C5933">
      <w:pPr>
        <w:rPr>
          <w:b/>
          <w:sz w:val="22"/>
        </w:rPr>
      </w:pPr>
      <w:r w:rsidRPr="00FE479C">
        <w:rPr>
          <w:i/>
          <w:sz w:val="28"/>
        </w:rPr>
        <w:t xml:space="preserve">                                                      </w:t>
      </w:r>
      <w:r w:rsidR="00C70CCF" w:rsidRPr="00FE479C">
        <w:rPr>
          <w:b/>
          <w:sz w:val="28"/>
        </w:rPr>
        <w:t>Daily Transaction Behavior at Scale</w:t>
      </w:r>
    </w:p>
    <w:p w:rsidR="00FE479C" w:rsidRDefault="00FE479C">
      <w:pPr>
        <w:jc w:val="center"/>
        <w:rPr>
          <w:b/>
        </w:rPr>
      </w:pPr>
    </w:p>
    <w:p w:rsidR="00FE479C" w:rsidRDefault="00FE479C">
      <w:pPr>
        <w:jc w:val="center"/>
        <w:rPr>
          <w:b/>
        </w:rPr>
      </w:pPr>
    </w:p>
    <w:p w:rsidR="00FE479C" w:rsidRDefault="00FE479C" w:rsidP="00FE479C">
      <w:pPr>
        <w:spacing w:line="240" w:lineRule="auto"/>
        <w:rPr>
          <w:b/>
          <w:sz w:val="28"/>
        </w:rPr>
      </w:pPr>
      <w:r w:rsidRPr="00FE479C">
        <w:rPr>
          <w:b/>
          <w:sz w:val="28"/>
        </w:rPr>
        <w:t xml:space="preserve">                                                    </w:t>
      </w:r>
      <w:r>
        <w:rPr>
          <w:b/>
          <w:sz w:val="28"/>
        </w:rPr>
        <w:t xml:space="preserve">  </w:t>
      </w:r>
      <w:r w:rsidRPr="00FE479C">
        <w:rPr>
          <w:b/>
          <w:sz w:val="28"/>
        </w:rPr>
        <w:t xml:space="preserve">Name: </w:t>
      </w:r>
      <w:proofErr w:type="spellStart"/>
      <w:r w:rsidRPr="00FE479C">
        <w:rPr>
          <w:b/>
          <w:sz w:val="28"/>
        </w:rPr>
        <w:t>Anamika</w:t>
      </w:r>
      <w:proofErr w:type="spellEnd"/>
      <w:r w:rsidRPr="00FE479C">
        <w:rPr>
          <w:b/>
          <w:sz w:val="28"/>
        </w:rPr>
        <w:t xml:space="preserve"> Gupta</w:t>
      </w:r>
    </w:p>
    <w:p w:rsidR="00FE479C" w:rsidRPr="00FE479C" w:rsidRDefault="00FE479C" w:rsidP="00FE479C">
      <w:pPr>
        <w:spacing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Roll no: 1250258079</w:t>
      </w:r>
    </w:p>
    <w:p w:rsidR="00FE479C" w:rsidRPr="00FE479C" w:rsidRDefault="00FE479C" w:rsidP="00FE479C">
      <w:pPr>
        <w:spacing w:line="240" w:lineRule="auto"/>
        <w:rPr>
          <w:b/>
          <w:sz w:val="28"/>
        </w:rPr>
      </w:pPr>
      <w:r w:rsidRPr="00FE479C">
        <w:rPr>
          <w:b/>
          <w:sz w:val="28"/>
        </w:rPr>
        <w:t xml:space="preserve">                                                      Course: BCA</w:t>
      </w:r>
      <w:r>
        <w:rPr>
          <w:b/>
          <w:sz w:val="28"/>
        </w:rPr>
        <w:t xml:space="preserve"> </w:t>
      </w:r>
      <w:r w:rsidR="00E96186">
        <w:rPr>
          <w:b/>
          <w:sz w:val="28"/>
        </w:rPr>
        <w:t>(DS&amp; AI</w:t>
      </w:r>
      <w:r w:rsidRPr="00FE479C">
        <w:rPr>
          <w:b/>
          <w:sz w:val="28"/>
        </w:rPr>
        <w:t>)</w:t>
      </w:r>
    </w:p>
    <w:p w:rsidR="00FE479C" w:rsidRPr="00FE479C" w:rsidRDefault="00FE479C" w:rsidP="00FE479C">
      <w:pPr>
        <w:spacing w:line="240" w:lineRule="auto"/>
        <w:rPr>
          <w:b/>
          <w:sz w:val="28"/>
        </w:rPr>
      </w:pPr>
      <w:r w:rsidRPr="00FE479C">
        <w:rPr>
          <w:b/>
          <w:sz w:val="28"/>
        </w:rPr>
        <w:t xml:space="preserve">                                                            </w:t>
      </w:r>
      <w:r>
        <w:rPr>
          <w:b/>
          <w:sz w:val="28"/>
        </w:rPr>
        <w:t xml:space="preserve">    </w:t>
      </w:r>
      <w:r w:rsidRPr="00FE479C">
        <w:rPr>
          <w:b/>
          <w:sz w:val="28"/>
        </w:rPr>
        <w:t>Section: BCADS27</w:t>
      </w:r>
    </w:p>
    <w:p w:rsidR="00FE479C" w:rsidRPr="00FE479C" w:rsidRDefault="00FE479C" w:rsidP="00FE479C">
      <w:pPr>
        <w:spacing w:line="240" w:lineRule="auto"/>
        <w:rPr>
          <w:b/>
          <w:sz w:val="28"/>
        </w:rPr>
      </w:pPr>
      <w:r w:rsidRPr="00FE479C">
        <w:rPr>
          <w:b/>
          <w:sz w:val="28"/>
        </w:rPr>
        <w:t xml:space="preserve">                                                   </w:t>
      </w:r>
      <w:r>
        <w:rPr>
          <w:b/>
          <w:sz w:val="28"/>
        </w:rPr>
        <w:t>Date</w:t>
      </w:r>
      <w:r w:rsidRPr="00FE479C">
        <w:rPr>
          <w:b/>
          <w:sz w:val="28"/>
        </w:rPr>
        <w:t>: 10</w:t>
      </w:r>
      <w:r w:rsidRPr="00FE479C">
        <w:rPr>
          <w:b/>
          <w:sz w:val="28"/>
          <w:vertAlign w:val="superscript"/>
        </w:rPr>
        <w:t>th</w:t>
      </w:r>
      <w:r w:rsidRPr="00FE479C">
        <w:rPr>
          <w:b/>
          <w:sz w:val="28"/>
        </w:rPr>
        <w:t xml:space="preserve"> August, 2026</w:t>
      </w:r>
    </w:p>
    <w:p w:rsidR="00FE479C" w:rsidRDefault="00FE479C">
      <w:pPr>
        <w:jc w:val="center"/>
        <w:rPr>
          <w:b/>
        </w:rPr>
      </w:pPr>
    </w:p>
    <w:p w:rsidR="00FE479C" w:rsidRDefault="00FE479C">
      <w:pPr>
        <w:jc w:val="center"/>
        <w:rPr>
          <w:b/>
        </w:rPr>
      </w:pPr>
    </w:p>
    <w:p w:rsidR="00FE479C" w:rsidRDefault="00FE479C">
      <w:pPr>
        <w:jc w:val="center"/>
        <w:rPr>
          <w:b/>
        </w:rPr>
      </w:pPr>
    </w:p>
    <w:p w:rsidR="009C631E" w:rsidRPr="00FE479C" w:rsidRDefault="00C70CCF" w:rsidP="00FE479C">
      <w:pPr>
        <w:rPr>
          <w:sz w:val="28"/>
        </w:rPr>
      </w:pPr>
      <w:r w:rsidRPr="00FE479C">
        <w:rPr>
          <w:b/>
          <w:sz w:val="28"/>
        </w:rPr>
        <w:t xml:space="preserve">Tracking Transaction Trends, Payment Categories, Success Rates, Regional Demand &amp; </w:t>
      </w:r>
      <w:r w:rsidR="00FE479C">
        <w:rPr>
          <w:b/>
          <w:sz w:val="28"/>
        </w:rPr>
        <w:t xml:space="preserve">                          </w:t>
      </w:r>
      <w:r w:rsidRPr="00FE479C">
        <w:rPr>
          <w:b/>
          <w:sz w:val="28"/>
        </w:rPr>
        <w:t>Operational Status</w:t>
      </w:r>
    </w:p>
    <w:p w:rsidR="009C631E" w:rsidRDefault="009C631E"/>
    <w:p w:rsidR="009C631E" w:rsidRPr="00FE479C" w:rsidRDefault="00C70CCF">
      <w:pPr>
        <w:rPr>
          <w:sz w:val="24"/>
        </w:rPr>
      </w:pPr>
      <w:r w:rsidRPr="00FE479C">
        <w:rPr>
          <w:b/>
          <w:sz w:val="24"/>
        </w:rPr>
        <w:t xml:space="preserve">Note on data: </w:t>
      </w:r>
      <w:r w:rsidRPr="00FE479C">
        <w:rPr>
          <w:sz w:val="24"/>
        </w:rPr>
        <w:t xml:space="preserve">This report uses the supplied PhonePe dataset containing 200 </w:t>
      </w:r>
      <w:r w:rsidRPr="00FE479C">
        <w:rPr>
          <w:sz w:val="24"/>
        </w:rPr>
        <w:t xml:space="preserve">records across 5 dates, 8 states and 6 payment categories. The dataset is already aggregated rather than raw event-level transaction data. Therefore, the analysis describes the supplied observations and does not assume a larger real-time </w:t>
      </w:r>
      <w:proofErr w:type="spellStart"/>
      <w:r w:rsidRPr="00FE479C">
        <w:rPr>
          <w:sz w:val="24"/>
        </w:rPr>
        <w:t>PhonePe</w:t>
      </w:r>
      <w:proofErr w:type="spellEnd"/>
      <w:r w:rsidRPr="00FE479C">
        <w:rPr>
          <w:sz w:val="24"/>
        </w:rPr>
        <w:t xml:space="preserve"> transactio</w:t>
      </w:r>
      <w:r w:rsidRPr="00FE479C">
        <w:rPr>
          <w:sz w:val="24"/>
        </w:rPr>
        <w:t>n stream.</w:t>
      </w:r>
    </w:p>
    <w:p w:rsidR="00741939" w:rsidRDefault="00741939"/>
    <w:p w:rsidR="00741939" w:rsidRDefault="00741939"/>
    <w:p w:rsidR="00741939" w:rsidRDefault="00741939"/>
    <w:p w:rsidR="00741939" w:rsidRDefault="00741939"/>
    <w:p w:rsidR="00741939" w:rsidRDefault="00741939"/>
    <w:p w:rsidR="00741939" w:rsidRDefault="00741939"/>
    <w:p w:rsidR="00741939" w:rsidRDefault="00741939"/>
    <w:p w:rsidR="00741939" w:rsidRDefault="00741939"/>
    <w:p w:rsidR="00741939" w:rsidRDefault="00741939"/>
    <w:p w:rsidR="009C631E" w:rsidRPr="002C5933" w:rsidRDefault="00C70CCF">
      <w:pPr>
        <w:pStyle w:val="Heading1"/>
        <w:rPr>
          <w:color w:val="000000" w:themeColor="text1"/>
        </w:rPr>
      </w:pPr>
      <w:r w:rsidRPr="002C5933">
        <w:rPr>
          <w:color w:val="000000" w:themeColor="text1"/>
        </w:rPr>
        <w:lastRenderedPageBreak/>
        <w:t>1. Objective</w:t>
      </w:r>
    </w:p>
    <w:p w:rsidR="009C631E" w:rsidRDefault="00C70CCF">
      <w:r>
        <w:t>Build a descriptive analytics layer over PhonePe</w:t>
      </w:r>
      <w:r w:rsidR="000A0EDE">
        <w:t xml:space="preserve"> transaction data to answer following</w:t>
      </w:r>
      <w:r>
        <w:t xml:space="preserve"> recurring business questions:</w:t>
      </w:r>
    </w:p>
    <w:p w:rsidR="009C631E" w:rsidRDefault="007023BC">
      <w:pPr>
        <w:pStyle w:val="ListBullet"/>
      </w:pPr>
      <w:r>
        <w:t>How are daily transaction volumes trending over time?</w:t>
      </w:r>
    </w:p>
    <w:p w:rsidR="007023BC" w:rsidRDefault="007023BC">
      <w:pPr>
        <w:pStyle w:val="ListBullet"/>
      </w:pPr>
      <w:r>
        <w:t>How are daily GMV trending over time?</w:t>
      </w:r>
    </w:p>
    <w:p w:rsidR="007023BC" w:rsidRDefault="007023BC" w:rsidP="007E37FA">
      <w:pPr>
        <w:pStyle w:val="ListBullet"/>
      </w:pPr>
      <w:r>
        <w:t>Which payment category contributes the highest transaction volume?</w:t>
      </w:r>
    </w:p>
    <w:p w:rsidR="007023BC" w:rsidRDefault="007023BC" w:rsidP="007E37FA">
      <w:pPr>
        <w:pStyle w:val="ListBullet"/>
      </w:pPr>
      <w:r>
        <w:t>Which payment categories contribute the most to overall GMV?</w:t>
      </w:r>
      <w:r>
        <w:t xml:space="preserve"> </w:t>
      </w:r>
    </w:p>
    <w:p w:rsidR="007023BC" w:rsidRDefault="007023BC" w:rsidP="007E37FA">
      <w:pPr>
        <w:pStyle w:val="ListBullet"/>
      </w:pPr>
      <w:r>
        <w:t>Which states generate the highest transaction volumes?</w:t>
      </w:r>
    </w:p>
    <w:p w:rsidR="009C631E" w:rsidRDefault="007023BC" w:rsidP="007023BC">
      <w:pPr>
        <w:pStyle w:val="ListBullet"/>
      </w:pPr>
      <w:r>
        <w:t>Which states contribute the most GMV?</w:t>
      </w:r>
    </w:p>
    <w:p w:rsidR="00741939" w:rsidRDefault="00C70CCF" w:rsidP="00E96186">
      <w:pPr>
        <w:pStyle w:val="ListBullet"/>
      </w:pPr>
      <w:r>
        <w:t>How successful a</w:t>
      </w:r>
      <w:r>
        <w:t xml:space="preserve">re transactions, and what is </w:t>
      </w:r>
      <w:r>
        <w:t>the customer satisfaction level?</w:t>
      </w:r>
    </w:p>
    <w:p w:rsidR="00741939" w:rsidRDefault="00C70CCF" w:rsidP="00E96186">
      <w:pPr>
        <w:pStyle w:val="ListBullet"/>
      </w:pPr>
      <w:r>
        <w:t>Where is transaction demand concentrated geographically?</w:t>
      </w:r>
    </w:p>
    <w:p w:rsidR="00741939" w:rsidRDefault="007023BC" w:rsidP="00741939">
      <w:pPr>
        <w:pStyle w:val="ListBullet"/>
      </w:pPr>
      <w:r>
        <w:t>How does customer satisfaction (CSAT) vary across states?</w:t>
      </w:r>
    </w:p>
    <w:p w:rsidR="009C631E" w:rsidRDefault="00E96186">
      <w:pPr>
        <w:pStyle w:val="ListBullet"/>
      </w:pPr>
      <w:r>
        <w:t>How does active merchant activity relate to transaction volume?</w:t>
      </w:r>
    </w:p>
    <w:p w:rsidR="007023BC" w:rsidRDefault="007023BC">
      <w:pPr>
        <w:pStyle w:val="ListBullet"/>
      </w:pPr>
      <w:r>
        <w:t>How do weekday and week</w:t>
      </w:r>
      <w:r>
        <w:t>end transaction patterns differ?</w:t>
      </w:r>
    </w:p>
    <w:p w:rsidR="009C631E" w:rsidRPr="002C5933" w:rsidRDefault="00C70CCF">
      <w:pPr>
        <w:pStyle w:val="Heading1"/>
        <w:rPr>
          <w:color w:val="000000" w:themeColor="text1"/>
        </w:rPr>
      </w:pPr>
      <w:r w:rsidRPr="002C5933">
        <w:rPr>
          <w:color w:val="000000" w:themeColor="text1"/>
        </w:rPr>
        <w:t>2. How This Would Work at Real Scale</w:t>
      </w:r>
    </w:p>
    <w:p w:rsidR="009C631E" w:rsidRDefault="00C70CCF">
      <w:r>
        <w:t>Processing large-scale digital-pay</w:t>
      </w:r>
      <w:r>
        <w:t>ment events is an engineering problem before it is an analytics problem. A realistic architecture would collect transaction events, aggregate them by time/category/state, store raw and aggregated data, and expose the resulting KPIs through a BI layer.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3570"/>
        <w:gridCol w:w="3288"/>
      </w:tblGrid>
      <w:tr w:rsidR="009C631E" w:rsidTr="007023BC">
        <w:trPr>
          <w:trHeight w:val="575"/>
          <w:jc w:val="center"/>
        </w:trPr>
        <w:tc>
          <w:tcPr>
            <w:tcW w:w="3294" w:type="dxa"/>
          </w:tcPr>
          <w:p w:rsidR="009C631E" w:rsidRPr="00E96186" w:rsidRDefault="00C70CCF">
            <w:pPr>
              <w:rPr>
                <w:sz w:val="22"/>
              </w:rPr>
            </w:pPr>
            <w:r w:rsidRPr="00E96186">
              <w:rPr>
                <w:b/>
                <w:sz w:val="28"/>
              </w:rPr>
              <w:t>Laye</w:t>
            </w:r>
            <w:r w:rsidRPr="00E96186">
              <w:rPr>
                <w:b/>
                <w:sz w:val="28"/>
              </w:rPr>
              <w:t>r</w:t>
            </w:r>
          </w:p>
        </w:tc>
        <w:tc>
          <w:tcPr>
            <w:tcW w:w="3570" w:type="dxa"/>
          </w:tcPr>
          <w:p w:rsidR="009C631E" w:rsidRDefault="00C70CCF">
            <w:r w:rsidRPr="00E96186">
              <w:rPr>
                <w:b/>
                <w:sz w:val="28"/>
              </w:rPr>
              <w:t>Purpose</w:t>
            </w:r>
          </w:p>
        </w:tc>
        <w:tc>
          <w:tcPr>
            <w:tcW w:w="3288" w:type="dxa"/>
          </w:tcPr>
          <w:p w:rsidR="009C631E" w:rsidRDefault="00C70CCF">
            <w:r w:rsidRPr="00E96186">
              <w:rPr>
                <w:b/>
                <w:sz w:val="28"/>
              </w:rPr>
              <w:t>Typical tools</w:t>
            </w:r>
          </w:p>
        </w:tc>
      </w:tr>
      <w:tr w:rsidR="009C631E" w:rsidTr="007023BC">
        <w:trPr>
          <w:trHeight w:val="1070"/>
          <w:jc w:val="center"/>
        </w:trPr>
        <w:tc>
          <w:tcPr>
            <w:tcW w:w="3294" w:type="dxa"/>
            <w:vAlign w:val="center"/>
          </w:tcPr>
          <w:p w:rsidR="009C631E" w:rsidRPr="00E96186" w:rsidRDefault="00FE479C">
            <w:pPr>
              <w:rPr>
                <w:b/>
              </w:rPr>
            </w:pPr>
            <w:r w:rsidRPr="00E96186">
              <w:rPr>
                <w:b/>
                <w:sz w:val="22"/>
              </w:rPr>
              <w:t>Investigation</w:t>
            </w:r>
          </w:p>
        </w:tc>
        <w:tc>
          <w:tcPr>
            <w:tcW w:w="3570" w:type="dxa"/>
            <w:vAlign w:val="center"/>
          </w:tcPr>
          <w:p w:rsidR="009C631E" w:rsidRDefault="00C70CCF">
            <w:r>
              <w:t>Capture transaction events in real time</w:t>
            </w:r>
          </w:p>
        </w:tc>
        <w:tc>
          <w:tcPr>
            <w:tcW w:w="3288" w:type="dxa"/>
            <w:vAlign w:val="center"/>
          </w:tcPr>
          <w:p w:rsidR="009C631E" w:rsidRDefault="00FE479C">
            <w:r>
              <w:t>Python &amp; Excel</w:t>
            </w:r>
          </w:p>
        </w:tc>
      </w:tr>
      <w:tr w:rsidR="009C631E" w:rsidTr="007023BC">
        <w:trPr>
          <w:trHeight w:val="890"/>
          <w:jc w:val="center"/>
        </w:trPr>
        <w:tc>
          <w:tcPr>
            <w:tcW w:w="3294" w:type="dxa"/>
            <w:vAlign w:val="center"/>
          </w:tcPr>
          <w:p w:rsidR="009C631E" w:rsidRDefault="00C70CCF">
            <w:r w:rsidRPr="00E96186">
              <w:rPr>
                <w:b/>
                <w:sz w:val="22"/>
              </w:rPr>
              <w:t>Stream</w:t>
            </w:r>
            <w:r w:rsidRPr="00E96186">
              <w:rPr>
                <w:sz w:val="22"/>
              </w:rPr>
              <w:t xml:space="preserve"> </w:t>
            </w:r>
            <w:r w:rsidRPr="00E96186">
              <w:rPr>
                <w:b/>
                <w:sz w:val="22"/>
              </w:rPr>
              <w:t>processing</w:t>
            </w:r>
          </w:p>
        </w:tc>
        <w:tc>
          <w:tcPr>
            <w:tcW w:w="3570" w:type="dxa"/>
            <w:vAlign w:val="center"/>
          </w:tcPr>
          <w:p w:rsidR="009C631E" w:rsidRDefault="00C70CCF">
            <w:r>
              <w:t>Aggregate by category, state and time</w:t>
            </w:r>
          </w:p>
        </w:tc>
        <w:tc>
          <w:tcPr>
            <w:tcW w:w="3288" w:type="dxa"/>
            <w:vAlign w:val="center"/>
          </w:tcPr>
          <w:p w:rsidR="009C631E" w:rsidRDefault="009C631E"/>
        </w:tc>
      </w:tr>
      <w:tr w:rsidR="009C631E" w:rsidTr="007023BC">
        <w:trPr>
          <w:trHeight w:val="825"/>
          <w:jc w:val="center"/>
        </w:trPr>
        <w:tc>
          <w:tcPr>
            <w:tcW w:w="3294" w:type="dxa"/>
            <w:vAlign w:val="center"/>
          </w:tcPr>
          <w:p w:rsidR="009C631E" w:rsidRPr="00E96186" w:rsidRDefault="00C70CCF">
            <w:pPr>
              <w:rPr>
                <w:b/>
              </w:rPr>
            </w:pPr>
            <w:r w:rsidRPr="00E96186">
              <w:rPr>
                <w:b/>
                <w:sz w:val="22"/>
              </w:rPr>
              <w:t>Storage</w:t>
            </w:r>
          </w:p>
        </w:tc>
        <w:tc>
          <w:tcPr>
            <w:tcW w:w="3570" w:type="dxa"/>
            <w:vAlign w:val="center"/>
          </w:tcPr>
          <w:p w:rsidR="009C631E" w:rsidRDefault="00C70CCF">
            <w:r>
              <w:t>Retain raw and aggregated data</w:t>
            </w:r>
          </w:p>
        </w:tc>
        <w:tc>
          <w:tcPr>
            <w:tcW w:w="3288" w:type="dxa"/>
            <w:vAlign w:val="center"/>
          </w:tcPr>
          <w:p w:rsidR="009C631E" w:rsidRDefault="009C631E"/>
        </w:tc>
      </w:tr>
      <w:tr w:rsidR="009C631E" w:rsidTr="007023BC">
        <w:trPr>
          <w:trHeight w:val="825"/>
          <w:jc w:val="center"/>
        </w:trPr>
        <w:tc>
          <w:tcPr>
            <w:tcW w:w="3294" w:type="dxa"/>
            <w:vAlign w:val="center"/>
          </w:tcPr>
          <w:p w:rsidR="009C631E" w:rsidRDefault="00C70CCF">
            <w:r w:rsidRPr="00E96186">
              <w:rPr>
                <w:b/>
                <w:sz w:val="22"/>
              </w:rPr>
              <w:t>Batch</w:t>
            </w:r>
            <w:r w:rsidRPr="00E96186">
              <w:t xml:space="preserve"> </w:t>
            </w:r>
            <w:r w:rsidRPr="00E96186">
              <w:rPr>
                <w:b/>
                <w:sz w:val="22"/>
              </w:rPr>
              <w:t>aggregation</w:t>
            </w:r>
          </w:p>
        </w:tc>
        <w:tc>
          <w:tcPr>
            <w:tcW w:w="3570" w:type="dxa"/>
            <w:vAlign w:val="center"/>
          </w:tcPr>
          <w:p w:rsidR="009C631E" w:rsidRDefault="00C70CCF">
            <w:r>
              <w:t>Daily KPI and reconciliation rollups</w:t>
            </w:r>
          </w:p>
        </w:tc>
        <w:tc>
          <w:tcPr>
            <w:tcW w:w="3288" w:type="dxa"/>
            <w:vAlign w:val="center"/>
          </w:tcPr>
          <w:p w:rsidR="009C631E" w:rsidRDefault="009C631E"/>
        </w:tc>
      </w:tr>
      <w:tr w:rsidR="009C631E" w:rsidTr="007023BC">
        <w:trPr>
          <w:trHeight w:val="825"/>
          <w:jc w:val="center"/>
        </w:trPr>
        <w:tc>
          <w:tcPr>
            <w:tcW w:w="3294" w:type="dxa"/>
            <w:vAlign w:val="center"/>
          </w:tcPr>
          <w:p w:rsidR="009C631E" w:rsidRPr="00E96186" w:rsidRDefault="00FE479C">
            <w:pPr>
              <w:rPr>
                <w:b/>
              </w:rPr>
            </w:pPr>
            <w:r w:rsidRPr="00E96186">
              <w:rPr>
                <w:b/>
                <w:sz w:val="22"/>
              </w:rPr>
              <w:t>Report</w:t>
            </w:r>
          </w:p>
        </w:tc>
        <w:tc>
          <w:tcPr>
            <w:tcW w:w="3570" w:type="dxa"/>
            <w:vAlign w:val="center"/>
          </w:tcPr>
          <w:p w:rsidR="009C631E" w:rsidRDefault="00C70CCF">
            <w:r>
              <w:t>Dashboards refreshed hourly or daily</w:t>
            </w:r>
          </w:p>
        </w:tc>
        <w:tc>
          <w:tcPr>
            <w:tcW w:w="3288" w:type="dxa"/>
            <w:vAlign w:val="center"/>
          </w:tcPr>
          <w:p w:rsidR="009C631E" w:rsidRDefault="007023BC">
            <w:r>
              <w:t>Data Visualization</w:t>
            </w:r>
          </w:p>
        </w:tc>
      </w:tr>
    </w:tbl>
    <w:p w:rsidR="00741939" w:rsidRDefault="00741939">
      <w:pPr>
        <w:pStyle w:val="Heading1"/>
        <w:rPr>
          <w:color w:val="000000" w:themeColor="text1"/>
        </w:rPr>
      </w:pPr>
    </w:p>
    <w:p w:rsidR="00741939" w:rsidRDefault="00741939">
      <w:pPr>
        <w:pStyle w:val="Heading1"/>
        <w:rPr>
          <w:color w:val="000000" w:themeColor="text1"/>
        </w:rPr>
      </w:pPr>
    </w:p>
    <w:p w:rsidR="009C631E" w:rsidRPr="002C5933" w:rsidRDefault="00E96186">
      <w:pPr>
        <w:pStyle w:val="Heading1"/>
        <w:rPr>
          <w:color w:val="000000" w:themeColor="text1"/>
        </w:rPr>
      </w:pPr>
      <w:r>
        <w:rPr>
          <w:color w:val="000000" w:themeColor="text1"/>
        </w:rPr>
        <w:t>3. Daily Transaction Volume</w:t>
      </w:r>
    </w:p>
    <w:p w:rsidR="009C631E" w:rsidRDefault="00C70CCF">
      <w:r>
        <w:t>Over the supplied 5-day window, the dataset records 23,853,873 transac</w:t>
      </w:r>
      <w:r>
        <w:t xml:space="preserve">tions and approximately ₹1,428.14 </w:t>
      </w:r>
      <w:proofErr w:type="gramStart"/>
      <w:r>
        <w:t>crore</w:t>
      </w:r>
      <w:proofErr w:type="gramEnd"/>
      <w:r>
        <w:t xml:space="preserve"> in GMV. The daily charts below show how transaction volume and GMV move across the available dates.</w:t>
      </w:r>
    </w:p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6149559" cy="440995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transaction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749" cy="44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1. Daily transaction volume</w:t>
      </w:r>
    </w:p>
    <w:p w:rsidR="00E96186" w:rsidRDefault="00E96186">
      <w:pPr>
        <w:jc w:val="center"/>
        <w:rPr>
          <w:noProof/>
        </w:rPr>
      </w:pPr>
    </w:p>
    <w:p w:rsidR="00E96186" w:rsidRDefault="00E96186">
      <w:pPr>
        <w:jc w:val="center"/>
        <w:rPr>
          <w:noProof/>
        </w:rPr>
      </w:pPr>
    </w:p>
    <w:p w:rsidR="00E96186" w:rsidRDefault="00E96186">
      <w:pPr>
        <w:jc w:val="center"/>
        <w:rPr>
          <w:noProof/>
        </w:rPr>
      </w:pPr>
    </w:p>
    <w:p w:rsidR="00E96186" w:rsidRDefault="00E96186" w:rsidP="00E96186">
      <w:pPr>
        <w:rPr>
          <w:noProof/>
        </w:rPr>
      </w:pPr>
    </w:p>
    <w:p w:rsidR="00E96186" w:rsidRDefault="00E96186" w:rsidP="00E96186">
      <w:pPr>
        <w:rPr>
          <w:noProof/>
        </w:rPr>
      </w:pPr>
    </w:p>
    <w:p w:rsidR="00E96186" w:rsidRDefault="00E96186" w:rsidP="00E96186">
      <w:pPr>
        <w:rPr>
          <w:noProof/>
        </w:rPr>
      </w:pPr>
    </w:p>
    <w:p w:rsidR="00E96186" w:rsidRDefault="00E96186" w:rsidP="00E96186">
      <w:pPr>
        <w:rPr>
          <w:noProof/>
        </w:rPr>
      </w:pPr>
    </w:p>
    <w:p w:rsidR="00E96186" w:rsidRPr="00C70CCF" w:rsidRDefault="00E96186" w:rsidP="00C70CCF">
      <w:pPr>
        <w:pStyle w:val="Heading1"/>
        <w:rPr>
          <w:noProof/>
          <w:color w:val="000000" w:themeColor="text1"/>
        </w:rPr>
      </w:pPr>
      <w:r w:rsidRPr="00C70CCF">
        <w:rPr>
          <w:noProof/>
          <w:color w:val="000000" w:themeColor="text1"/>
        </w:rPr>
        <w:lastRenderedPageBreak/>
        <w:t>4. Daily GMV trending</w:t>
      </w:r>
      <w:r w:rsidR="00C70CCF">
        <w:rPr>
          <w:noProof/>
          <w:color w:val="000000" w:themeColor="text1"/>
        </w:rPr>
        <w:t xml:space="preserve"> over time</w:t>
      </w:r>
    </w:p>
    <w:p w:rsidR="00E96186" w:rsidRDefault="00E96186" w:rsidP="00E96186">
      <w:pPr>
        <w:rPr>
          <w:noProof/>
        </w:rPr>
      </w:pPr>
    </w:p>
    <w:p w:rsidR="00C70CCF" w:rsidRDefault="00C70CCF" w:rsidP="00E96186">
      <w:pPr>
        <w:rPr>
          <w:noProof/>
        </w:rPr>
      </w:pPr>
    </w:p>
    <w:p w:rsidR="00C70CCF" w:rsidRDefault="00C70CCF" w:rsidP="00E96186">
      <w:pPr>
        <w:rPr>
          <w:noProof/>
        </w:rPr>
      </w:pPr>
    </w:p>
    <w:p w:rsidR="00C70CCF" w:rsidRDefault="00C70CCF" w:rsidP="00E96186">
      <w:pPr>
        <w:rPr>
          <w:noProof/>
        </w:rPr>
      </w:pPr>
    </w:p>
    <w:p w:rsidR="00E96186" w:rsidRDefault="00E96186" w:rsidP="00E96186">
      <w:pPr>
        <w:rPr>
          <w:noProof/>
        </w:rPr>
      </w:pPr>
    </w:p>
    <w:p w:rsidR="009C631E" w:rsidRDefault="00C70CCF">
      <w:pPr>
        <w:jc w:val="center"/>
      </w:pPr>
      <w:r>
        <w:rPr>
          <w:noProof/>
        </w:rPr>
        <w:drawing>
          <wp:inline distT="0" distB="0" distL="0" distR="0" wp14:anchorId="2CC870AD" wp14:editId="20976036">
            <wp:extent cx="6071558" cy="3622876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gmv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59" cy="362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 xml:space="preserve">Figure 2. </w:t>
      </w:r>
      <w:r>
        <w:rPr>
          <w:i/>
          <w:sz w:val="18"/>
        </w:rPr>
        <w:t>Daily GMV trend</w:t>
      </w:r>
    </w:p>
    <w:p w:rsidR="00C70CCF" w:rsidRDefault="00C70CCF">
      <w:pPr>
        <w:pStyle w:val="Heading1"/>
      </w:pPr>
    </w:p>
    <w:p w:rsidR="00C70CCF" w:rsidRDefault="00C70CCF">
      <w:pPr>
        <w:pStyle w:val="Heading1"/>
      </w:pPr>
    </w:p>
    <w:p w:rsidR="00C70CCF" w:rsidRDefault="00C70CCF">
      <w:pPr>
        <w:pStyle w:val="Heading1"/>
      </w:pPr>
    </w:p>
    <w:p w:rsidR="00C70CCF" w:rsidRDefault="00C70CCF">
      <w:pPr>
        <w:pStyle w:val="Heading1"/>
      </w:pPr>
    </w:p>
    <w:p w:rsidR="00C70CCF" w:rsidRDefault="00C70CCF" w:rsidP="00C70CCF"/>
    <w:p w:rsidR="00C70CCF" w:rsidRPr="00C70CCF" w:rsidRDefault="00C70CCF" w:rsidP="00C70CCF"/>
    <w:p w:rsidR="00C70CCF" w:rsidRDefault="00C70CCF">
      <w:pPr>
        <w:pStyle w:val="Heading1"/>
      </w:pPr>
    </w:p>
    <w:p w:rsidR="009C631E" w:rsidRPr="00C70CCF" w:rsidRDefault="00C70CCF">
      <w:pPr>
        <w:pStyle w:val="Heading1"/>
        <w:rPr>
          <w:color w:val="000000" w:themeColor="text1"/>
        </w:rPr>
      </w:pPr>
      <w:r>
        <w:rPr>
          <w:color w:val="000000" w:themeColor="text1"/>
        </w:rPr>
        <w:t>5</w:t>
      </w:r>
      <w:r w:rsidRPr="00C70CCF">
        <w:rPr>
          <w:color w:val="000000" w:themeColor="text1"/>
        </w:rPr>
        <w:t>. Best-Performing Payment Categories</w:t>
      </w:r>
    </w:p>
    <w:p w:rsidR="009C631E" w:rsidRDefault="00C70CCF">
      <w:r>
        <w:t xml:space="preserve">UPI - </w:t>
      </w:r>
      <w:r>
        <w:t>Merchant/QR is the leading payment category by transaction volume with 14,746,630 transactions, followed by UPI - P2P with 6,597,654. The ranking here is based on transaction count rather than GMV, because volume and monetary value answer different busines</w:t>
      </w:r>
      <w:r>
        <w:t>s questions.</w:t>
      </w:r>
    </w:p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5072112" cy="3608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transaction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112" cy="36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 w:rsidP="00C70CCF">
      <w:pPr>
        <w:jc w:val="center"/>
        <w:rPr>
          <w:i/>
          <w:sz w:val="18"/>
        </w:rPr>
      </w:pPr>
      <w:r>
        <w:rPr>
          <w:i/>
          <w:sz w:val="18"/>
        </w:rPr>
        <w:t>Figure 3. Transaction share</w:t>
      </w:r>
      <w:r>
        <w:rPr>
          <w:i/>
          <w:sz w:val="18"/>
        </w:rPr>
        <w:t xml:space="preserve"> by payment category</w:t>
      </w:r>
    </w:p>
    <w:p w:rsidR="00C70CCF" w:rsidRDefault="00C70CCF" w:rsidP="00C70CCF">
      <w:pPr>
        <w:rPr>
          <w:sz w:val="18"/>
        </w:rPr>
      </w:pPr>
      <w:r>
        <w:rPr>
          <w:sz w:val="18"/>
        </w:rPr>
        <w:t xml:space="preserve"> </w:t>
      </w: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Pr="00C70CCF" w:rsidRDefault="00C70CCF" w:rsidP="00C70CCF">
      <w:pPr>
        <w:pStyle w:val="Heading1"/>
        <w:rPr>
          <w:color w:val="000000" w:themeColor="text1"/>
          <w:sz w:val="32"/>
          <w:szCs w:val="32"/>
        </w:rPr>
      </w:pPr>
      <w:r w:rsidRPr="00C70CCF">
        <w:rPr>
          <w:color w:val="000000" w:themeColor="text1"/>
          <w:sz w:val="32"/>
          <w:szCs w:val="32"/>
        </w:rPr>
        <w:lastRenderedPageBreak/>
        <w:t>6.  P</w:t>
      </w:r>
      <w:r w:rsidRPr="00C70CCF">
        <w:rPr>
          <w:color w:val="000000" w:themeColor="text1"/>
          <w:sz w:val="32"/>
          <w:szCs w:val="32"/>
        </w:rPr>
        <w:t>ayment categories contribute the most to overall GMV</w:t>
      </w:r>
    </w:p>
    <w:p w:rsidR="00C70CCF" w:rsidRDefault="00C70CCF" w:rsidP="00C70CCF">
      <w:pPr>
        <w:rPr>
          <w:sz w:val="18"/>
        </w:rPr>
      </w:pPr>
    </w:p>
    <w:p w:rsidR="00C70CCF" w:rsidRDefault="00C70CCF" w:rsidP="00C70CCF">
      <w:pPr>
        <w:rPr>
          <w:sz w:val="18"/>
        </w:rPr>
      </w:pPr>
    </w:p>
    <w:p w:rsidR="00C70CCF" w:rsidRPr="00C70CCF" w:rsidRDefault="00C70CCF" w:rsidP="00C70CCF"/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6217920" cy="36083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gm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4. GMV by payment category</w:t>
      </w:r>
    </w:p>
    <w:p w:rsidR="009C631E" w:rsidRPr="00C70CCF" w:rsidRDefault="00C70CCF">
      <w:pPr>
        <w:pStyle w:val="Heading1"/>
        <w:rPr>
          <w:color w:val="000000" w:themeColor="text1"/>
        </w:rPr>
      </w:pPr>
      <w:r>
        <w:rPr>
          <w:color w:val="000000" w:themeColor="text1"/>
        </w:rPr>
        <w:t>8</w:t>
      </w:r>
      <w:bookmarkStart w:id="0" w:name="_GoBack"/>
      <w:bookmarkEnd w:id="0"/>
      <w:r w:rsidRPr="00C70CCF">
        <w:rPr>
          <w:color w:val="000000" w:themeColor="text1"/>
        </w:rPr>
        <w:t>. Success Rate &amp; Customer Satisfaction</w:t>
      </w:r>
    </w:p>
    <w:p w:rsidR="009C631E" w:rsidRDefault="00C70CCF">
      <w:r>
        <w:t xml:space="preserve">The average transaction success rate across the supplied records is 97.96%, while the average CSAT score is 4.62/5. </w:t>
      </w:r>
      <w:r>
        <w:t>Success rate is an operational reliability metric, whereas CSAT reflects the customer experience captured in the dataset.</w:t>
      </w:r>
    </w:p>
    <w:p w:rsidR="009C631E" w:rsidRDefault="00C70CCF">
      <w:pPr>
        <w:jc w:val="center"/>
      </w:pPr>
      <w:r>
        <w:rPr>
          <w:noProof/>
        </w:rPr>
        <w:lastRenderedPageBreak/>
        <w:drawing>
          <wp:inline distT="0" distB="0" distL="0" distR="0">
            <wp:extent cx="6217920" cy="36083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5. Average success rate by payment category</w:t>
      </w:r>
    </w:p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6217920" cy="3228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2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6. CSAT score distribution</w:t>
      </w:r>
    </w:p>
    <w:p w:rsidR="009C631E" w:rsidRDefault="00C70CCF">
      <w:pPr>
        <w:pStyle w:val="Heading1"/>
      </w:pPr>
      <w:r w:rsidRPr="00C70CCF">
        <w:rPr>
          <w:color w:val="000000" w:themeColor="text1"/>
        </w:rPr>
        <w:t>6. Regional Demand</w:t>
      </w:r>
    </w:p>
    <w:p w:rsidR="009C631E" w:rsidRDefault="00C70CCF">
      <w:r>
        <w:t xml:space="preserve">Transaction demand is </w:t>
      </w:r>
      <w:r>
        <w:t>distributed across 8 states. Maharashtra has the highest transaction volume in the supplied data at 3,802,979 transactions. Regional demand analysis can support merchant coverage, operational planning, service monitoring and state-level business decisions.</w:t>
      </w:r>
    </w:p>
    <w:p w:rsidR="009C631E" w:rsidRDefault="00C70CCF">
      <w:pPr>
        <w:jc w:val="center"/>
      </w:pPr>
      <w:r>
        <w:rPr>
          <w:noProof/>
        </w:rPr>
        <w:lastRenderedPageBreak/>
        <w:drawing>
          <wp:inline distT="0" distB="0" distL="0" distR="0">
            <wp:extent cx="6217920" cy="36083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transa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7. Total transactions by state</w:t>
      </w:r>
    </w:p>
    <w:p w:rsidR="009C631E" w:rsidRDefault="00C70CCF">
      <w:pPr>
        <w:pStyle w:val="Heading1"/>
      </w:pPr>
      <w:r>
        <w:t>7. Operational / Downtime Status</w:t>
      </w:r>
    </w:p>
    <w:p w:rsidR="009C631E" w:rsidRDefault="00C70CCF">
      <w:r>
        <w:t>No supplied record is flagged for downtime. This means the downtime_flag column contains zero flagged observations in this dataset. This should not be interpreted as proof that Phone</w:t>
      </w:r>
      <w:r>
        <w:t>Pe experienced no downtime outside the supplied sample.</w:t>
      </w:r>
    </w:p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6217920" cy="32422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time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4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8. Downtime flag status</w:t>
      </w:r>
    </w:p>
    <w:p w:rsidR="009C631E" w:rsidRDefault="00C70CCF">
      <w:pPr>
        <w:pStyle w:val="Heading1"/>
      </w:pPr>
      <w:r>
        <w:lastRenderedPageBreak/>
        <w:t>8. Summary of 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C631E">
        <w:trPr>
          <w:jc w:val="center"/>
        </w:trPr>
        <w:tc>
          <w:tcPr>
            <w:tcW w:w="5112" w:type="dxa"/>
          </w:tcPr>
          <w:p w:rsidR="009C631E" w:rsidRDefault="00C70CCF">
            <w:r>
              <w:rPr>
                <w:b/>
              </w:rPr>
              <w:t>Metric</w:t>
            </w:r>
          </w:p>
        </w:tc>
        <w:tc>
          <w:tcPr>
            <w:tcW w:w="5112" w:type="dxa"/>
          </w:tcPr>
          <w:p w:rsidR="009C631E" w:rsidRDefault="00C70CCF">
            <w:r>
              <w:rPr>
                <w:b/>
              </w:rPr>
              <w:t>Value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Total transactions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23,853,873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Total GMV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₹</w:t>
            </w:r>
            <w:r>
              <w:t>1,428.14 crore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Average success rate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97.96%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Average CSAT score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4.62 / 5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 xml:space="preserve">States </w:t>
            </w:r>
            <w:r>
              <w:t>tracked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8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Payment categories tracked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6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Dataset records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200</w:t>
            </w:r>
          </w:p>
        </w:tc>
      </w:tr>
      <w:tr w:rsidR="009C631E">
        <w:trPr>
          <w:jc w:val="center"/>
        </w:trPr>
        <w:tc>
          <w:tcPr>
            <w:tcW w:w="5112" w:type="dxa"/>
            <w:vAlign w:val="center"/>
          </w:tcPr>
          <w:p w:rsidR="009C631E" w:rsidRDefault="00C70CCF">
            <w:r>
              <w:t>Downtime-flagged records</w:t>
            </w:r>
          </w:p>
        </w:tc>
        <w:tc>
          <w:tcPr>
            <w:tcW w:w="5112" w:type="dxa"/>
            <w:vAlign w:val="center"/>
          </w:tcPr>
          <w:p w:rsidR="009C631E" w:rsidRDefault="00C70CCF">
            <w:r>
              <w:t>0</w:t>
            </w:r>
          </w:p>
        </w:tc>
      </w:tr>
    </w:tbl>
    <w:p w:rsidR="009C631E" w:rsidRDefault="00C70CCF">
      <w:pPr>
        <w:pStyle w:val="Heading1"/>
      </w:pPr>
      <w:r>
        <w:t>9. Active Merchants vs Transaction Volume</w:t>
      </w:r>
    </w:p>
    <w:p w:rsidR="009C631E" w:rsidRDefault="00C70CCF">
      <w:r>
        <w:t xml:space="preserve">The relationship between active merchants and transaction volume provides an additional descriptive view of state-level </w:t>
      </w:r>
      <w:r>
        <w:t>activity. States with more active merchants may generate higher transaction volumes, but the scatter plot should be interpreted as association rather than proof of causation.</w:t>
      </w:r>
    </w:p>
    <w:p w:rsidR="009C631E" w:rsidRDefault="00C70CCF">
      <w:pPr>
        <w:jc w:val="center"/>
      </w:pPr>
      <w:r>
        <w:rPr>
          <w:noProof/>
        </w:rPr>
        <w:drawing>
          <wp:inline distT="0" distB="0" distL="0" distR="0">
            <wp:extent cx="6217920" cy="42818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chant_vs_trans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1E" w:rsidRDefault="00C70CCF">
      <w:pPr>
        <w:jc w:val="center"/>
      </w:pPr>
      <w:r>
        <w:rPr>
          <w:i/>
          <w:sz w:val="18"/>
        </w:rPr>
        <w:t>Figure 9. Active merchants vs transaction volume by state</w:t>
      </w:r>
    </w:p>
    <w:p w:rsidR="009C631E" w:rsidRDefault="00C70CCF">
      <w:pPr>
        <w:pStyle w:val="Heading1"/>
      </w:pPr>
      <w:r>
        <w:t>10. Next Steps to Mov</w:t>
      </w:r>
      <w:r>
        <w:t>e From Descriptive → Predictive</w:t>
      </w:r>
    </w:p>
    <w:p w:rsidR="009C631E" w:rsidRDefault="00C70CCF">
      <w:pPr>
        <w:pStyle w:val="ListBullet"/>
      </w:pPr>
      <w:r>
        <w:t>Demand forecasting by state and payment category to estimate future transaction volumes.</w:t>
      </w:r>
    </w:p>
    <w:p w:rsidR="009C631E" w:rsidRDefault="00C70CCF">
      <w:pPr>
        <w:pStyle w:val="ListBullet"/>
      </w:pPr>
      <w:r>
        <w:t>Anomaly detection for sudden changes in success rate, GMV or transaction volume.</w:t>
      </w:r>
    </w:p>
    <w:p w:rsidR="009C631E" w:rsidRDefault="00C70CCF">
      <w:pPr>
        <w:pStyle w:val="ListBullet"/>
      </w:pPr>
      <w:r>
        <w:t xml:space="preserve">Downtime-impact analysis linking operational flags to </w:t>
      </w:r>
      <w:r>
        <w:t>transaction failures and lost GMV.</w:t>
      </w:r>
    </w:p>
    <w:p w:rsidR="009C631E" w:rsidRDefault="00C70CCF">
      <w:pPr>
        <w:pStyle w:val="ListBullet"/>
      </w:pPr>
      <w:r>
        <w:lastRenderedPageBreak/>
        <w:t>Merchant productivity analysis using transactions per active merchant.</w:t>
      </w:r>
    </w:p>
    <w:p w:rsidR="009C631E" w:rsidRDefault="00C70CCF">
      <w:pPr>
        <w:pStyle w:val="ListBullet"/>
      </w:pPr>
      <w:r>
        <w:t>Trend and cohort analysis when longer historical data becomes available.</w:t>
      </w:r>
    </w:p>
    <w:p w:rsidR="009C631E" w:rsidRDefault="00C70CCF" w:rsidP="00FE479C">
      <w:r>
        <w:t>This report answers what happened in the supplied dataset. The next analytica</w:t>
      </w:r>
      <w:r>
        <w:t>l layer would use a longer time period and richer event-level data to explain why changes occurred and to forecast what is likely to happen next.</w:t>
      </w:r>
    </w:p>
    <w:sectPr w:rsidR="009C631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EDE"/>
    <w:rsid w:val="0015074B"/>
    <w:rsid w:val="0029639D"/>
    <w:rsid w:val="002C5933"/>
    <w:rsid w:val="00326F90"/>
    <w:rsid w:val="007023BC"/>
    <w:rsid w:val="00741939"/>
    <w:rsid w:val="009C631E"/>
    <w:rsid w:val="00AA1D8D"/>
    <w:rsid w:val="00B47730"/>
    <w:rsid w:val="00C70CCF"/>
    <w:rsid w:val="00CB0664"/>
    <w:rsid w:val="00E96186"/>
    <w:rsid w:val="00FC693F"/>
    <w:rsid w:val="00FE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E3FAC"/>
  <w14:defaultImageDpi w14:val="300"/>
  <w15:docId w15:val="{E7A71F43-00AA-4DF5-B404-F5795AB1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ED6C17-D930-4DC9-A512-AA3218778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2026-08-08T11:21:00Z</dcterms:modified>
  <cp:category/>
</cp:coreProperties>
</file>