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4 TASK</w:t>
      </w:r>
    </w:p>
    <w:p>
      <w:pPr>
        <w:jc w:val="center"/>
      </w:pPr>
      <w:r>
        <w:rPr>
          <w:b/>
          <w:sz w:val="40"/>
        </w:rPr>
        <w:t>Performance Evaluation and Strategic Recommendations in Agribusiness</w:t>
      </w:r>
    </w:p>
    <w:p>
      <w:pPr>
        <w:jc w:val="center"/>
      </w:pPr>
      <w:r>
        <w:rPr>
          <w:i/>
        </w:rPr>
        <w:t>Comprehensive Evaluation Report</w:t>
      </w:r>
    </w:p>
    <w:p>
      <w:r>
        <w:br w:type="page"/>
      </w:r>
    </w:p>
    <w:p>
      <w:pPr>
        <w:pStyle w:val="Heading1"/>
      </w:pPr>
      <w:r>
        <w:t>1. Introduction</w:t>
      </w:r>
    </w:p>
    <w:p>
      <w:r>
        <w:t>This report presents a comprehensive framework for evaluating agribusiness performance and translating analytical findings into practical strategic actions. The evaluation stage builds on data collection, visualization, and predictive analysis by assessing whether agricultural operations are efficient, productive, profitable, market-responsive, and sustainable. The approach combines quantitative KPI measurement with qualitative interpretation of weather, market, infrastructure, resource, and operational conditions. All numerical findings presented in the evaluation section are hypothetical and illustrative, as required for this assignment.</w:t>
      </w:r>
    </w:p>
    <w:p>
      <w:pPr>
        <w:pStyle w:val="Heading1"/>
      </w:pPr>
      <w:r>
        <w:t>2. Evaluation Objectives</w:t>
      </w:r>
    </w:p>
    <w:p>
      <w:pPr>
        <w:pStyle w:val="ListBullet"/>
      </w:pPr>
      <w:r>
        <w:t>Define critical KPIs for agribusiness performance.</w:t>
      </w:r>
    </w:p>
    <w:p>
      <w:pPr>
        <w:pStyle w:val="ListBullet"/>
      </w:pPr>
      <w:r>
        <w:t>Explain collection and analysis of publicly available agricultural data.</w:t>
      </w:r>
    </w:p>
    <w:p>
      <w:pPr>
        <w:pStyle w:val="ListBullet"/>
      </w:pPr>
      <w:r>
        <w:t>Compare hypothetical findings with historical, peer, industry, and best-practice benchmarks.</w:t>
      </w:r>
    </w:p>
    <w:p>
      <w:pPr>
        <w:pStyle w:val="ListBullet"/>
      </w:pPr>
      <w:r>
        <w:t>Identify performance gaps and plausible causes.</w:t>
      </w:r>
    </w:p>
    <w:p>
      <w:pPr>
        <w:pStyle w:val="ListBullet"/>
      </w:pPr>
      <w:r>
        <w:t>Develop feasible strategic recommendations supported by KPI evidence.</w:t>
      </w:r>
    </w:p>
    <w:p>
      <w:pPr>
        <w:pStyle w:val="ListBullet"/>
      </w:pPr>
      <w:r>
        <w:t>Create an ongoing monitoring and adjustment process.</w:t>
      </w:r>
    </w:p>
    <w:p>
      <w:pPr>
        <w:pStyle w:val="Heading1"/>
      </w:pPr>
      <w:r>
        <w:t>3. Methodology</w:t>
      </w:r>
    </w:p>
    <w:p>
      <w:r>
        <w:t>Public information would be collected from FAOSTAT, India’s Open Government Data platform, the India Meteorological Department, and Agmarknet. Data would be organized by crop, region, season, and year. Before analysis, records would be checked for missing values, duplicate observations, inconsistent units, outliers, and incompatible time periods.</w:t>
      </w:r>
    </w:p>
    <w:p>
      <w:r>
        <w:t>Analysis would use descriptive statistics, year-on-year percentage changes, multi-year averages, ratios, regional comparisons, trend analysis, and benchmark-gap calculations. Production and yield indicators would be linked with rainfall and market information where appropriate. Qualitative factors such as unusual weather, input constraints, transport problems, storage availability, and market disruptions would be considered when interpreting results.</w:t>
      </w:r>
    </w:p>
    <w:p>
      <w:r>
        <w:t>Benchmarking would use three levels: internal historical performance, comparable peer or regional performance, and external industry or best-practice references. Each benchmark should record its source, year, unit, definition, and relevant assumptions.</w:t>
      </w:r>
    </w:p>
    <w:p>
      <w:pPr>
        <w:pStyle w:val="Heading1"/>
      </w:pPr>
      <w:r>
        <w:t>4. Key Performance Indicators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KPI</w:t>
            </w:r>
          </w:p>
        </w:tc>
        <w:tc>
          <w:tcPr>
            <w:tcW w:type="dxa" w:w="2484"/>
            <w:shd w:fill="D9EAF7"/>
          </w:tcPr>
          <w:p>
            <w:r>
              <w:rPr>
                <w:b/>
              </w:rPr>
              <w:t>Measurement</w:t>
            </w:r>
          </w:p>
        </w:tc>
        <w:tc>
          <w:tcPr>
            <w:tcW w:type="dxa" w:w="2484"/>
            <w:shd w:fill="D9EAF7"/>
          </w:tcPr>
          <w:p>
            <w:r>
              <w:rPr>
                <w:b/>
              </w:rPr>
              <w:t>Purpose</w:t>
            </w:r>
          </w:p>
        </w:tc>
        <w:tc>
          <w:tcPr>
            <w:tcW w:type="dxa" w:w="2484"/>
            <w:shd w:fill="D9EAF7"/>
          </w:tcPr>
          <w:p>
            <w:r>
              <w:rPr>
                <w:b/>
              </w:rPr>
              <w:t>Illustrative Target</w:t>
            </w:r>
          </w:p>
        </w:tc>
      </w:tr>
      <w:tr>
        <w:tc>
          <w:tcPr>
            <w:tcW w:type="dxa" w:w="2484"/>
          </w:tcPr>
          <w:p>
            <w:r>
              <w:t>Production Efficiency</w:t>
            </w:r>
          </w:p>
        </w:tc>
        <w:tc>
          <w:tcPr>
            <w:tcW w:type="dxa" w:w="2484"/>
          </w:tcPr>
          <w:p>
            <w:r>
              <w:t>Production ÷ cultivated area</w:t>
            </w:r>
          </w:p>
        </w:tc>
        <w:tc>
          <w:tcPr>
            <w:tcW w:type="dxa" w:w="2484"/>
          </w:tcPr>
          <w:p>
            <w:r>
              <w:t>Measures output generated from land</w:t>
            </w:r>
          </w:p>
        </w:tc>
        <w:tc>
          <w:tcPr>
            <w:tcW w:type="dxa" w:w="2484"/>
          </w:tcPr>
          <w:p>
            <w:r>
              <w:t>Improve year-on-year</w:t>
            </w:r>
          </w:p>
        </w:tc>
      </w:tr>
      <w:tr>
        <w:tc>
          <w:tcPr>
            <w:tcW w:type="dxa" w:w="2484"/>
          </w:tcPr>
          <w:p>
            <w:r>
              <w:t>Yield Performance</w:t>
            </w:r>
          </w:p>
        </w:tc>
        <w:tc>
          <w:tcPr>
            <w:tcW w:type="dxa" w:w="2484"/>
          </w:tcPr>
          <w:p>
            <w:r>
              <w:t>Production ÷ harvested area</w:t>
            </w:r>
          </w:p>
        </w:tc>
        <w:tc>
          <w:tcPr>
            <w:tcW w:type="dxa" w:w="2484"/>
          </w:tcPr>
          <w:p>
            <w:r>
              <w:t>Measures crop productivity</w:t>
            </w:r>
          </w:p>
        </w:tc>
        <w:tc>
          <w:tcPr>
            <w:tcW w:type="dxa" w:w="2484"/>
          </w:tcPr>
          <w:p>
            <w:r>
              <w:t>Above historical average</w:t>
            </w:r>
          </w:p>
        </w:tc>
      </w:tr>
      <w:tr>
        <w:tc>
          <w:tcPr>
            <w:tcW w:type="dxa" w:w="2484"/>
          </w:tcPr>
          <w:p>
            <w:r>
              <w:t>Market Profitability</w:t>
            </w:r>
          </w:p>
        </w:tc>
        <w:tc>
          <w:tcPr>
            <w:tcW w:type="dxa" w:w="2484"/>
          </w:tcPr>
          <w:p>
            <w:r>
              <w:t>Revenue − estimated operating cost</w:t>
            </w:r>
          </w:p>
        </w:tc>
        <w:tc>
          <w:tcPr>
            <w:tcW w:type="dxa" w:w="2484"/>
          </w:tcPr>
          <w:p>
            <w:r>
              <w:t>Assesses financial performance</w:t>
            </w:r>
          </w:p>
        </w:tc>
        <w:tc>
          <w:tcPr>
            <w:tcW w:type="dxa" w:w="2484"/>
          </w:tcPr>
          <w:p>
            <w:r>
              <w:t>Positive and improving</w:t>
            </w:r>
          </w:p>
        </w:tc>
      </w:tr>
      <w:tr>
        <w:tc>
          <w:tcPr>
            <w:tcW w:type="dxa" w:w="2484"/>
          </w:tcPr>
          <w:p>
            <w:r>
              <w:t>Price Realization</w:t>
            </w:r>
          </w:p>
        </w:tc>
        <w:tc>
          <w:tcPr>
            <w:tcW w:type="dxa" w:w="2484"/>
          </w:tcPr>
          <w:p>
            <w:r>
              <w:t>Average selling price compared with benchmark</w:t>
            </w:r>
          </w:p>
        </w:tc>
        <w:tc>
          <w:tcPr>
            <w:tcW w:type="dxa" w:w="2484"/>
          </w:tcPr>
          <w:p>
            <w:r>
              <w:t>Measures market outcome</w:t>
            </w:r>
          </w:p>
        </w:tc>
        <w:tc>
          <w:tcPr>
            <w:tcW w:type="dxa" w:w="2484"/>
          </w:tcPr>
          <w:p>
            <w:r>
              <w:t>At or above benchmark</w:t>
            </w:r>
          </w:p>
        </w:tc>
      </w:tr>
      <w:tr>
        <w:tc>
          <w:tcPr>
            <w:tcW w:type="dxa" w:w="2484"/>
          </w:tcPr>
          <w:p>
            <w:r>
              <w:t>Market Arrival Efficiency</w:t>
            </w:r>
          </w:p>
        </w:tc>
        <w:tc>
          <w:tcPr>
            <w:tcW w:type="dxa" w:w="2484"/>
          </w:tcPr>
          <w:p>
            <w:r>
              <w:t>Arrivals relative to production and seasonal pattern</w:t>
            </w:r>
          </w:p>
        </w:tc>
        <w:tc>
          <w:tcPr>
            <w:tcW w:type="dxa" w:w="2484"/>
          </w:tcPr>
          <w:p>
            <w:r>
              <w:t>Assesses movement and timing</w:t>
            </w:r>
          </w:p>
        </w:tc>
        <w:tc>
          <w:tcPr>
            <w:tcW w:type="dxa" w:w="2484"/>
          </w:tcPr>
          <w:p>
            <w:r>
              <w:t>Stable, planned flow</w:t>
            </w:r>
          </w:p>
        </w:tc>
      </w:tr>
      <w:tr>
        <w:tc>
          <w:tcPr>
            <w:tcW w:type="dxa" w:w="2484"/>
          </w:tcPr>
          <w:p>
            <w:r>
              <w:t>Resource Sustainability</w:t>
            </w:r>
          </w:p>
        </w:tc>
        <w:tc>
          <w:tcPr>
            <w:tcW w:type="dxa" w:w="2484"/>
          </w:tcPr>
          <w:p>
            <w:r>
              <w:t>Resource/input use per unit of output</w:t>
            </w:r>
          </w:p>
        </w:tc>
        <w:tc>
          <w:tcPr>
            <w:tcW w:type="dxa" w:w="2484"/>
          </w:tcPr>
          <w:p>
            <w:r>
              <w:t>Tracks resource intensity</w:t>
            </w:r>
          </w:p>
        </w:tc>
        <w:tc>
          <w:tcPr>
            <w:tcW w:type="dxa" w:w="2484"/>
          </w:tcPr>
          <w:p>
            <w:r>
              <w:t>Reduce resource intensity</w:t>
            </w:r>
          </w:p>
        </w:tc>
      </w:tr>
    </w:tbl>
    <w:p/>
    <w:p>
      <w:pPr>
        <w:pStyle w:val="Heading1"/>
      </w:pPr>
      <w:r>
        <w:t>5. KPI Evaluation Framework</w:t>
      </w:r>
    </w:p>
    <w:p>
      <w:pPr>
        <w:pStyle w:val="Heading2"/>
      </w:pPr>
      <w:r>
        <w:t>5.1 Production Efficiency and Yield Performance</w:t>
      </w:r>
    </w:p>
    <w:p>
      <w:r>
        <w:t>Performance should be compared across years, crops, and regions. A positive trend in production per unit of cultivated or harvested area indicates improved output efficiency. A decline may be associated with adverse rainfall, pests, input shortages, soil conditions, cultivation changes, or limited irrigation. Historical averages and peer regions provide context for identifying persistent gaps.</w:t>
      </w:r>
    </w:p>
    <w:p>
      <w:pPr>
        <w:pStyle w:val="Heading2"/>
      </w:pPr>
      <w:r>
        <w:t>5.2 Market Profitability and Price Realization</w:t>
      </w:r>
    </w:p>
    <w:p>
      <w:r>
        <w:t>Strong production does not necessarily produce strong financial performance. Profitability depends on selling prices, sales volumes, input costs, labor, transport, storage, and other operating expenses. Price realization should therefore be examined together with profitability. High production accompanied by weak prices may indicate oversupply or poor timing of sales.</w:t>
      </w:r>
    </w:p>
    <w:p>
      <w:pPr>
        <w:pStyle w:val="Heading2"/>
      </w:pPr>
      <w:r>
        <w:t>5.3 Market Arrival Efficiency</w:t>
      </w:r>
    </w:p>
    <w:p>
      <w:r>
        <w:t>Market arrivals should be assessed alongside production and prices. A sudden concentration of arrivals may create temporary oversupply and price pressure, while irregular arrivals can indicate storage, transport, grading, or market-access constraints. Seasonal patterns should be considered before interpreting deviations.</w:t>
      </w:r>
    </w:p>
    <w:p>
      <w:pPr>
        <w:pStyle w:val="Heading2"/>
      </w:pPr>
      <w:r>
        <w:t>5.4 Resource Sustainability</w:t>
      </w:r>
    </w:p>
    <w:p>
      <w:r>
        <w:t>Sustainability can be monitored through resource use per unit of output and production efficiency measures. Where direct environmental data are unavailable, proxy indicators should be clearly identified and interpreted cautiously.</w:t>
      </w:r>
    </w:p>
    <w:p>
      <w:pPr>
        <w:pStyle w:val="Heading1"/>
      </w:pPr>
      <w:r>
        <w:t>6. Hypothetical Evaluation Results</w:t>
      </w:r>
    </w:p>
    <w:p>
      <w:r>
        <w:t>Suppose the evaluated region records yield 8% above its five-year historical average, while market profitability is only 2% above its benchmark. This suggests that production performance is strong but market conditions or costs are limiting financial gains. Suppose price realization is 5% below the benchmark and market arrivals are 12% above the seasonal average. This pattern could indicate temporary oversupply, weak sales timing, or limited storage capacity. The example demonstrates why several KPIs must be interpreted together.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KPI</w:t>
            </w:r>
          </w:p>
        </w:tc>
        <w:tc>
          <w:tcPr>
            <w:tcW w:type="dxa" w:w="2484"/>
            <w:shd w:fill="D9EAF7"/>
          </w:tcPr>
          <w:p>
            <w:r>
              <w:rPr>
                <w:b/>
              </w:rPr>
              <w:t>Hypothetical Result</w:t>
            </w:r>
          </w:p>
        </w:tc>
        <w:tc>
          <w:tcPr>
            <w:tcW w:type="dxa" w:w="2484"/>
            <w:shd w:fill="D9EAF7"/>
          </w:tcPr>
          <w:p>
            <w:r>
              <w:rPr>
                <w:b/>
              </w:rPr>
              <w:t>Benchmark</w:t>
            </w:r>
          </w:p>
        </w:tc>
        <w:tc>
          <w:tcPr>
            <w:tcW w:type="dxa" w:w="2484"/>
            <w:shd w:fill="D9EAF7"/>
          </w:tcPr>
          <w:p>
            <w:r>
              <w:rPr>
                <w:b/>
              </w:rPr>
              <w:t>Gap</w:t>
            </w:r>
          </w:p>
        </w:tc>
      </w:tr>
      <w:tr>
        <w:tc>
          <w:tcPr>
            <w:tcW w:type="dxa" w:w="2484"/>
          </w:tcPr>
          <w:p>
            <w:r>
              <w:t>Yield Performance</w:t>
            </w:r>
          </w:p>
        </w:tc>
        <w:tc>
          <w:tcPr>
            <w:tcW w:type="dxa" w:w="2484"/>
          </w:tcPr>
          <w:p>
            <w:r>
              <w:t>+8% vs five-year average</w:t>
            </w:r>
          </w:p>
        </w:tc>
        <w:tc>
          <w:tcPr>
            <w:tcW w:type="dxa" w:w="2484"/>
          </w:tcPr>
          <w:p>
            <w:r>
              <w:t>0% baseline</w:t>
            </w:r>
          </w:p>
        </w:tc>
        <w:tc>
          <w:tcPr>
            <w:tcW w:type="dxa" w:w="2484"/>
          </w:tcPr>
          <w:p>
            <w:r>
              <w:t>+8 percentage points</w:t>
            </w:r>
          </w:p>
        </w:tc>
      </w:tr>
      <w:tr>
        <w:tc>
          <w:tcPr>
            <w:tcW w:type="dxa" w:w="2484"/>
          </w:tcPr>
          <w:p>
            <w:r>
              <w:t>Market Profitability</w:t>
            </w:r>
          </w:p>
        </w:tc>
        <w:tc>
          <w:tcPr>
            <w:tcW w:type="dxa" w:w="2484"/>
          </w:tcPr>
          <w:p>
            <w:r>
              <w:t>+2%</w:t>
            </w:r>
          </w:p>
        </w:tc>
        <w:tc>
          <w:tcPr>
            <w:tcW w:type="dxa" w:w="2484"/>
          </w:tcPr>
          <w:p>
            <w:r>
              <w:t>+5% benchmark</w:t>
            </w:r>
          </w:p>
        </w:tc>
        <w:tc>
          <w:tcPr>
            <w:tcW w:type="dxa" w:w="2484"/>
          </w:tcPr>
          <w:p>
            <w:r>
              <w:t>-3 percentage points</w:t>
            </w:r>
          </w:p>
        </w:tc>
      </w:tr>
      <w:tr>
        <w:tc>
          <w:tcPr>
            <w:tcW w:type="dxa" w:w="2484"/>
          </w:tcPr>
          <w:p>
            <w:r>
              <w:t>Price Realization</w:t>
            </w:r>
          </w:p>
        </w:tc>
        <w:tc>
          <w:tcPr>
            <w:tcW w:type="dxa" w:w="2484"/>
          </w:tcPr>
          <w:p>
            <w:r>
              <w:t>-5%</w:t>
            </w:r>
          </w:p>
        </w:tc>
        <w:tc>
          <w:tcPr>
            <w:tcW w:type="dxa" w:w="2484"/>
          </w:tcPr>
          <w:p>
            <w:r>
              <w:t>0% benchmark</w:t>
            </w:r>
          </w:p>
        </w:tc>
        <w:tc>
          <w:tcPr>
            <w:tcW w:type="dxa" w:w="2484"/>
          </w:tcPr>
          <w:p>
            <w:r>
              <w:t>-5 percentage points</w:t>
            </w:r>
          </w:p>
        </w:tc>
      </w:tr>
      <w:tr>
        <w:tc>
          <w:tcPr>
            <w:tcW w:type="dxa" w:w="2484"/>
          </w:tcPr>
          <w:p>
            <w:r>
              <w:t>Market Arrivals</w:t>
            </w:r>
          </w:p>
        </w:tc>
        <w:tc>
          <w:tcPr>
            <w:tcW w:type="dxa" w:w="2484"/>
          </w:tcPr>
          <w:p>
            <w:r>
              <w:t>+12%</w:t>
            </w:r>
          </w:p>
        </w:tc>
        <w:tc>
          <w:tcPr>
            <w:tcW w:type="dxa" w:w="2484"/>
          </w:tcPr>
          <w:p>
            <w:r>
              <w:t>+5% seasonal growth</w:t>
            </w:r>
          </w:p>
        </w:tc>
        <w:tc>
          <w:tcPr>
            <w:tcW w:type="dxa" w:w="2484"/>
          </w:tcPr>
          <w:p>
            <w:r>
              <w:t>+7 percentage points</w:t>
            </w:r>
          </w:p>
        </w:tc>
      </w:tr>
      <w:tr>
        <w:tc>
          <w:tcPr>
            <w:tcW w:type="dxa" w:w="2484"/>
          </w:tcPr>
          <w:p>
            <w:r>
              <w:t>Production Efficiency</w:t>
            </w:r>
          </w:p>
        </w:tc>
        <w:tc>
          <w:tcPr>
            <w:tcW w:type="dxa" w:w="2484"/>
          </w:tcPr>
          <w:p>
            <w:r>
              <w:t>+6%</w:t>
            </w:r>
          </w:p>
        </w:tc>
        <w:tc>
          <w:tcPr>
            <w:tcW w:type="dxa" w:w="2484"/>
          </w:tcPr>
          <w:p>
            <w:r>
              <w:t>+4% expected improvement</w:t>
            </w:r>
          </w:p>
        </w:tc>
        <w:tc>
          <w:tcPr>
            <w:tcW w:type="dxa" w:w="2484"/>
          </w:tcPr>
          <w:p>
            <w:r>
              <w:t>+2 percentage points</w:t>
            </w:r>
          </w:p>
        </w:tc>
      </w:tr>
    </w:tbl>
    <w:p/>
    <w:p>
      <w:pPr>
        <w:pStyle w:val="Heading1"/>
      </w:pPr>
      <w:r>
        <w:t>7. Benchmark Comparison Framework</w:t>
      </w:r>
    </w:p>
    <w:p>
      <w:pPr>
        <w:pStyle w:val="Heading2"/>
      </w:pPr>
      <w:r>
        <w:t>7.1 Historical Benchmark</w:t>
      </w:r>
    </w:p>
    <w:p>
      <w:r>
        <w:t>Compare current values with a three-to-five-year historical average, median, or trend to identify improvement or deterioration.</w:t>
      </w:r>
    </w:p>
    <w:p>
      <w:pPr>
        <w:pStyle w:val="Heading2"/>
      </w:pPr>
      <w:r>
        <w:t>7.2 Peer or Regional Benchmark</w:t>
      </w:r>
    </w:p>
    <w:p>
      <w:r>
        <w:t>Compare similar crops or regions using consistent definitions. Regional differences may reveal productivity, infrastructure, resource, or market-access gaps.</w:t>
      </w:r>
    </w:p>
    <w:p>
      <w:pPr>
        <w:pStyle w:val="Heading2"/>
      </w:pPr>
      <w:r>
        <w:t>7.3 External Industry and Best-Practice Benchmark</w:t>
      </w:r>
    </w:p>
    <w:p>
      <w:r>
        <w:t>Use credible industry references or recognized practices for wider context, while accounting for differences in climate, crop type, cost structure, infrastructure, and market conditions.</w:t>
      </w:r>
    </w:p>
    <w:p>
      <w:r>
        <w:t>A benchmark should not be treated as a universal target without checking comparability. Gap analysis identifies differences but does not by itself prove causation.</w:t>
      </w:r>
    </w:p>
    <w:p>
      <w:pPr>
        <w:pStyle w:val="Heading1"/>
      </w:pPr>
      <w:r>
        <w:t>8. Strategic Recommendations</w:t>
      </w:r>
    </w:p>
    <w:p>
      <w:pPr>
        <w:pStyle w:val="Heading2"/>
      </w:pPr>
      <w:r>
        <w:t>8.1 Improve Market Timing</w:t>
      </w:r>
    </w:p>
    <w:p>
      <w:r>
        <w:t>If arrivals rise faster than demand while price realization falls below benchmark, strengthen market monitoring, staggered selling, buyer scheduling, coordinated procurement, and harvest-volume planning. This directly addresses the hypothetical combination of high arrivals and weak price realization.</w:t>
      </w:r>
    </w:p>
    <w:p>
      <w:pPr>
        <w:pStyle w:val="Heading2"/>
      </w:pPr>
      <w:r>
        <w:t>8.2 Strengthen Storage and Post-Harvest Management</w:t>
      </w:r>
    </w:p>
    <w:p>
      <w:r>
        <w:t>Where high arrivals coincide with price weakness or losses, improve storage, grading, packaging, handling, and transport coordination. These measures can reduce forced immediate sales and preserve quality.</w:t>
      </w:r>
    </w:p>
    <w:p>
      <w:pPr>
        <w:pStyle w:val="Heading2"/>
      </w:pPr>
      <w:r>
        <w:t>8.3 Improve Yield Through Targeted Resource Allocation</w:t>
      </w:r>
    </w:p>
    <w:p>
      <w:r>
        <w:t>Regions below benchmark should receive interventions based on rainfall, historical yield, cultivated area, input access, and local constraints. This supports targeted irrigation, extension services, improved practices, and input optimization.</w:t>
      </w:r>
    </w:p>
    <w:p>
      <w:pPr>
        <w:pStyle w:val="Heading2"/>
      </w:pPr>
      <w:r>
        <w:t>8.4 Use Forecasts for Operational Planning</w:t>
      </w:r>
    </w:p>
    <w:p>
      <w:r>
        <w:t>Integrate Week 3 forecasts into procurement, inventory, staffing, logistics, and contingency planning. Use prediction ranges where appropriate so managers can prepare for uncertainty.</w:t>
      </w:r>
    </w:p>
    <w:p>
      <w:pPr>
        <w:pStyle w:val="Heading2"/>
      </w:pPr>
      <w:r>
        <w:t>8.5 Establish KPI-Based Management</w:t>
      </w:r>
    </w:p>
    <w:p>
      <w:r>
        <w:t>Create a recurring dashboard assigning each KPI an owner, reporting frequency, target, tolerance threshold, and response action. This turns evaluation into a continuous improvement system.</w:t>
      </w:r>
    </w:p>
    <w:p>
      <w:pPr>
        <w:pStyle w:val="Heading1"/>
      </w:pPr>
      <w:r>
        <w:t>9. Implementation and Continuous Evaluation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Phase</w:t>
            </w:r>
          </w:p>
        </w:tc>
        <w:tc>
          <w:tcPr>
            <w:tcW w:type="dxa" w:w="3312"/>
            <w:shd w:fill="D9EAF7"/>
          </w:tcPr>
          <w:p>
            <w:r>
              <w:rPr>
                <w:b/>
              </w:rPr>
              <w:t>Action</w:t>
            </w:r>
          </w:p>
        </w:tc>
        <w:tc>
          <w:tcPr>
            <w:tcW w:type="dxa" w:w="3312"/>
            <w:shd w:fill="D9EAF7"/>
          </w:tcPr>
          <w:p>
            <w:r>
              <w:rPr>
                <w:b/>
              </w:rPr>
              <w:t>Frequency</w:t>
            </w:r>
          </w:p>
        </w:tc>
      </w:tr>
      <w:tr>
        <w:tc>
          <w:tcPr>
            <w:tcW w:type="dxa" w:w="3312"/>
          </w:tcPr>
          <w:p>
            <w:r>
              <w:t>Baseline</w:t>
            </w:r>
          </w:p>
        </w:tc>
        <w:tc>
          <w:tcPr>
            <w:tcW w:type="dxa" w:w="3312"/>
          </w:tcPr>
          <w:p>
            <w:r>
              <w:t>Calculate and document starting KPI values and benchmark definitions</w:t>
            </w:r>
          </w:p>
        </w:tc>
        <w:tc>
          <w:tcPr>
            <w:tcW w:type="dxa" w:w="3312"/>
          </w:tcPr>
          <w:p>
            <w:r>
              <w:t>Initial assessment</w:t>
            </w:r>
          </w:p>
        </w:tc>
      </w:tr>
      <w:tr>
        <w:tc>
          <w:tcPr>
            <w:tcW w:type="dxa" w:w="3312"/>
          </w:tcPr>
          <w:p>
            <w:r>
              <w:t>Monitoring</w:t>
            </w:r>
          </w:p>
        </w:tc>
        <w:tc>
          <w:tcPr>
            <w:tcW w:type="dxa" w:w="3312"/>
          </w:tcPr>
          <w:p>
            <w:r>
              <w:t>Update production, yield, price, arrivals, and resource indicators</w:t>
            </w:r>
          </w:p>
        </w:tc>
        <w:tc>
          <w:tcPr>
            <w:tcW w:type="dxa" w:w="3312"/>
          </w:tcPr>
          <w:p>
            <w:r>
              <w:t>Monthly/seasonal</w:t>
            </w:r>
          </w:p>
        </w:tc>
      </w:tr>
      <w:tr>
        <w:tc>
          <w:tcPr>
            <w:tcW w:type="dxa" w:w="3312"/>
          </w:tcPr>
          <w:p>
            <w:r>
              <w:t>Review</w:t>
            </w:r>
          </w:p>
        </w:tc>
        <w:tc>
          <w:tcPr>
            <w:tcW w:type="dxa" w:w="3312"/>
          </w:tcPr>
          <w:p>
            <w:r>
              <w:t>Compare results with targets, historical values, and peer benchmarks</w:t>
            </w:r>
          </w:p>
        </w:tc>
        <w:tc>
          <w:tcPr>
            <w:tcW w:type="dxa" w:w="3312"/>
          </w:tcPr>
          <w:p>
            <w:r>
              <w:t>Quarterly</w:t>
            </w:r>
          </w:p>
        </w:tc>
      </w:tr>
      <w:tr>
        <w:tc>
          <w:tcPr>
            <w:tcW w:type="dxa" w:w="3312"/>
          </w:tcPr>
          <w:p>
            <w:r>
              <w:t>Action</w:t>
            </w:r>
          </w:p>
        </w:tc>
        <w:tc>
          <w:tcPr>
            <w:tcW w:type="dxa" w:w="3312"/>
          </w:tcPr>
          <w:p>
            <w:r>
              <w:t>Investigate gaps and implement corrective measures</w:t>
            </w:r>
          </w:p>
        </w:tc>
        <w:tc>
          <w:tcPr>
            <w:tcW w:type="dxa" w:w="3312"/>
          </w:tcPr>
          <w:p>
            <w:r>
              <w:t>As required</w:t>
            </w:r>
          </w:p>
        </w:tc>
      </w:tr>
      <w:tr>
        <w:tc>
          <w:tcPr>
            <w:tcW w:type="dxa" w:w="3312"/>
          </w:tcPr>
          <w:p>
            <w:r>
              <w:t>Reassessment</w:t>
            </w:r>
          </w:p>
        </w:tc>
        <w:tc>
          <w:tcPr>
            <w:tcW w:type="dxa" w:w="3312"/>
          </w:tcPr>
          <w:p>
            <w:r>
              <w:t>Measure intervention impact and revise targets or methods</w:t>
            </w:r>
          </w:p>
        </w:tc>
        <w:tc>
          <w:tcPr>
            <w:tcW w:type="dxa" w:w="3312"/>
          </w:tcPr>
          <w:p>
            <w:r>
              <w:t>Annually</w:t>
            </w:r>
          </w:p>
        </w:tc>
      </w:tr>
    </w:tbl>
    <w:p/>
    <w:p>
      <w:r>
        <w:t>The evaluation cycle should follow: measure → compare → diagnose → act → reassess. Significant deviations should trigger root-cause analysis. Improvements should be monitored for persistence and scalability, while changes to targets should be documented.</w:t>
      </w:r>
    </w:p>
    <w:p>
      <w:pPr>
        <w:pStyle w:val="Heading1"/>
      </w:pPr>
      <w:r>
        <w:t>10. Risks and Limitations</w:t>
      </w:r>
    </w:p>
    <w:p>
      <w:pPr>
        <w:pStyle w:val="ListBullet"/>
      </w:pPr>
      <w:r>
        <w:t>Public datasets may contain missing, delayed, revised, or inconsistent observations.</w:t>
      </w:r>
    </w:p>
    <w:p>
      <w:pPr>
        <w:pStyle w:val="ListBullet"/>
      </w:pPr>
      <w:r>
        <w:t>Benchmarks may not be directly comparable across crops, climates, costs, infrastructure, or markets.</w:t>
      </w:r>
    </w:p>
    <w:p>
      <w:pPr>
        <w:pStyle w:val="ListBullet"/>
      </w:pPr>
      <w:r>
        <w:t>Extreme weather, disease, policy changes, and market disruptions can distort short-term performance.</w:t>
      </w:r>
    </w:p>
    <w:p>
      <w:pPr>
        <w:pStyle w:val="ListBullet"/>
      </w:pPr>
      <w:r>
        <w:t>Detailed operating costs and direct environmental measures may be unavailable in public datasets.</w:t>
      </w:r>
    </w:p>
    <w:p>
      <w:pPr>
        <w:pStyle w:val="ListBullet"/>
      </w:pPr>
      <w:r>
        <w:t>Correlation among KPIs does not establish causation.</w:t>
      </w:r>
    </w:p>
    <w:p>
      <w:pPr>
        <w:pStyle w:val="ListBullet"/>
      </w:pPr>
      <w:r>
        <w:t>All numerical evaluation results in this report are hypothetical and illustrative.</w:t>
      </w:r>
    </w:p>
    <w:p>
      <w:pPr>
        <w:pStyle w:val="Heading1"/>
      </w:pPr>
      <w:r>
        <w:t>11. Conclusion</w:t>
      </w:r>
    </w:p>
    <w:p>
      <w:r>
        <w:t>A balanced agribusiness evaluation should combine production efficiency, yield, profitability, price realization, market arrivals, and sustainability rather than relying on one measure. Benchmarking makes performance gaps visible, while qualitative analysis helps interpret possible drivers. The hypothetical results show that strong production can coexist with weaker financial outcomes when prices, arrivals, costs, or post-harvest constraints reduce commercial value. The proposed recommendations therefore focus on market timing, storage and post-harvest management, targeted resource allocation, forecast-informed planning, and KPI-based management. Continuous monitoring provides the feedback needed to test interventions, measure impact, and adjust decisions as agricultural and market conditions change. This framework demonstrates how data analysis can be translated into practical strategic business value.</w:t>
      </w:r>
    </w:p>
    <w:p>
      <w:pPr>
        <w:pStyle w:val="Heading1"/>
      </w:pPr>
      <w:r>
        <w:t>12. Public Data Sources</w:t>
      </w:r>
    </w:p>
    <w:p>
      <w:pPr>
        <w:pStyle w:val="ListBullet"/>
      </w:pPr>
      <w:r>
        <w:t>FAOSTAT: https://www.fao.org/faostat/en/</w:t>
      </w:r>
    </w:p>
    <w:p>
      <w:pPr>
        <w:pStyle w:val="ListBullet"/>
      </w:pPr>
      <w:r>
        <w:t>Open Government Data India – Agriculture: https://data.gov.in/sector/agriculture</w:t>
      </w:r>
    </w:p>
    <w:p>
      <w:pPr>
        <w:pStyle w:val="ListBullet"/>
      </w:pPr>
      <w:r>
        <w:t>District-wise Season-wise Crop Production Statistics: https://www.data.gov.in/catalog/district-wise-season-wise-crop-production-statistics-0</w:t>
      </w:r>
    </w:p>
    <w:p>
      <w:pPr>
        <w:pStyle w:val="ListBullet"/>
      </w:pPr>
      <w:r>
        <w:t>India Meteorological Department – Rainfall Information: https://mausam.imd.gov.in/responsive/rainfallinformation_swd.php</w:t>
      </w:r>
    </w:p>
    <w:p>
      <w:pPr>
        <w:pStyle w:val="ListBullet"/>
      </w:pPr>
      <w:r>
        <w:t>Agmarknet: https://agmarknet.gov.in/</w:t>
      </w:r>
    </w:p>
    <w:p>
      <w:pPr>
        <w:pStyle w:val="Heading1"/>
      </w:pPr>
      <w:r>
        <w:t>13. Definition of Done</w:t>
      </w:r>
    </w:p>
    <w:p>
      <w:pPr>
        <w:pStyle w:val="ListBullet"/>
      </w:pPr>
      <w:r>
        <w:t>At least five KPIs are clearly defined.</w:t>
      </w:r>
    </w:p>
    <w:p>
      <w:pPr>
        <w:pStyle w:val="ListBullet"/>
      </w:pPr>
      <w:r>
        <w:t>Public-data collection and analysis methods are documented.</w:t>
      </w:r>
    </w:p>
    <w:p>
      <w:pPr>
        <w:pStyle w:val="ListBullet"/>
      </w:pPr>
      <w:r>
        <w:t>Historical, peer, and external benchmark approaches are explained.</w:t>
      </w:r>
    </w:p>
    <w:p>
      <w:pPr>
        <w:pStyle w:val="ListBullet"/>
      </w:pPr>
      <w:r>
        <w:t>Hypothetical results are evaluated using numerical gaps and qualitative interpretation.</w:t>
      </w:r>
    </w:p>
    <w:p>
      <w:pPr>
        <w:pStyle w:val="ListBullet"/>
      </w:pPr>
      <w:r>
        <w:t>Recommendations are linked to identified performance gaps.</w:t>
      </w:r>
    </w:p>
    <w:p>
      <w:pPr>
        <w:pStyle w:val="ListBullet"/>
      </w:pPr>
      <w:r>
        <w:t>An ongoing monitoring and adjustment plan is included.</w:t>
      </w:r>
    </w:p>
    <w:p>
      <w:pPr>
        <w:pStyle w:val="ListBullet"/>
      </w:pPr>
      <w:r>
        <w:t>Risks, limitations, assumptions, and hypothetical results are stated.</w:t>
      </w:r>
    </w:p>
    <w:p>
      <w:pPr>
        <w:pStyle w:val="ListBullet"/>
      </w:pPr>
      <w:r>
        <w:t>The report is logically structured and formatted as a DOCX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