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6E03" w14:textId="77777777" w:rsidR="00D541C0" w:rsidRDefault="00D541C0" w:rsidP="00D541C0">
      <w:pPr>
        <w:pStyle w:val="p1"/>
      </w:pPr>
      <w:r>
        <w:rPr>
          <w:b/>
          <w:bCs/>
          <w:i/>
          <w:iCs/>
        </w:rPr>
        <w:t>Faecalibacterium prausnitzii</w:t>
      </w:r>
      <w:r>
        <w:rPr>
          <w:b/>
          <w:bCs/>
        </w:rPr>
        <w:t>, depleted in the</w:t>
      </w:r>
    </w:p>
    <w:p w14:paraId="32885B5B" w14:textId="77777777" w:rsidR="00D541C0" w:rsidRDefault="00D541C0" w:rsidP="00D541C0">
      <w:pPr>
        <w:pStyle w:val="p1"/>
      </w:pPr>
      <w:r>
        <w:rPr>
          <w:b/>
          <w:bCs/>
        </w:rPr>
        <w:t>Parkinson’s disease microbiome, improves motor</w:t>
      </w:r>
    </w:p>
    <w:p w14:paraId="34258BF9" w14:textId="77777777" w:rsidR="00D541C0" w:rsidRDefault="00D541C0" w:rsidP="00D541C0">
      <w:pPr>
        <w:pStyle w:val="p1"/>
      </w:pPr>
      <w:r>
        <w:rPr>
          <w:b/>
          <w:bCs/>
        </w:rPr>
        <w:t>deficits in α-synuclein overexpressing mice</w:t>
      </w:r>
    </w:p>
    <w:p w14:paraId="1F77A819" w14:textId="5C1CF4F9" w:rsidR="00D541C0" w:rsidRDefault="00D541C0" w:rsidP="00D541C0">
      <w:r>
        <w:t xml:space="preserve">Behavior data </w:t>
      </w:r>
      <w:proofErr w:type="spellStart"/>
      <w:r>
        <w:t>READme</w:t>
      </w:r>
      <w:proofErr w:type="spellEnd"/>
      <w:r>
        <w:t xml:space="preserve"> 12/1/25</w:t>
      </w:r>
    </w:p>
    <w:p w14:paraId="4C789C5A" w14:textId="77777777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General overview:</w:t>
      </w:r>
    </w:p>
    <w:p w14:paraId="4A12F74B" w14:textId="1B0B7F3E" w:rsidR="00D541C0" w:rsidRDefault="00D541C0" w:rsidP="00D541C0">
      <w:r>
        <w:t>This dataset includes all motor and gastrointestinal function data generated following Thy1-ASO mouse treatment with vehicle (saline) or benCom-PD/</w:t>
      </w:r>
      <w:r w:rsidRPr="00D541C0">
        <w:rPr>
          <w:i/>
          <w:iCs/>
        </w:rPr>
        <w:t>F. prausnitzii</w:t>
      </w:r>
      <w:r>
        <w:t xml:space="preserve">. </w:t>
      </w:r>
    </w:p>
    <w:p w14:paraId="54A5E6D7" w14:textId="29361A39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File naming</w:t>
      </w:r>
      <w:r w:rsidR="00675624">
        <w:rPr>
          <w:u w:val="single"/>
        </w:rPr>
        <w:t>:</w:t>
      </w:r>
    </w:p>
    <w:p w14:paraId="7B95A3D6" w14:textId="4F358102" w:rsidR="00D541C0" w:rsidRDefault="00D541C0" w:rsidP="00D541C0">
      <w:r>
        <w:t>Files are named by experiment</w:t>
      </w:r>
      <w:r w:rsidR="00675624">
        <w:t xml:space="preserve">: </w:t>
      </w:r>
      <w:r>
        <w:t xml:space="preserve">benCom or </w:t>
      </w:r>
      <w:r w:rsidRPr="00D541C0">
        <w:rPr>
          <w:i/>
          <w:iCs/>
        </w:rPr>
        <w:t>F. prausnitzii</w:t>
      </w:r>
      <w:r w:rsidR="00675624" w:rsidRPr="00675624">
        <w:t>, with</w:t>
      </w:r>
      <w:r>
        <w:rPr>
          <w:i/>
          <w:iCs/>
        </w:rPr>
        <w:t xml:space="preserve"> </w:t>
      </w:r>
      <w:r w:rsidRPr="00D541C0">
        <w:t>“Fp1”</w:t>
      </w:r>
      <w:r w:rsidR="00675624">
        <w:t xml:space="preserve"> indicating</w:t>
      </w:r>
      <w:r w:rsidRPr="00D541C0">
        <w:t xml:space="preserve"> </w:t>
      </w:r>
      <w:r w:rsidR="00675624" w:rsidRPr="00D541C0">
        <w:rPr>
          <w:i/>
          <w:iCs/>
        </w:rPr>
        <w:t>F. prausnitzii</w:t>
      </w:r>
      <w:r w:rsidR="00675624" w:rsidRPr="00D541C0">
        <w:t xml:space="preserve"> </w:t>
      </w:r>
      <w:r w:rsidRPr="00D541C0">
        <w:t xml:space="preserve">cohort 1 and “Fp2” </w:t>
      </w:r>
      <w:r w:rsidR="00675624">
        <w:t xml:space="preserve">indicating </w:t>
      </w:r>
      <w:r w:rsidR="00675624" w:rsidRPr="00D541C0">
        <w:rPr>
          <w:i/>
          <w:iCs/>
        </w:rPr>
        <w:t>F. prausnitzii</w:t>
      </w:r>
      <w:r w:rsidR="00675624" w:rsidRPr="00D541C0">
        <w:t xml:space="preserve"> </w:t>
      </w:r>
      <w:r w:rsidRPr="00D541C0">
        <w:t>cohort 2</w:t>
      </w:r>
      <w:r w:rsidR="00675624">
        <w:t>.</w:t>
      </w:r>
    </w:p>
    <w:p w14:paraId="36BB51DD" w14:textId="77777777" w:rsidR="00D541C0" w:rsidRDefault="00D541C0" w:rsidP="00D541C0">
      <w:r>
        <w:t>Each image is labeled accordingly with WT (wildtype), ASO-</w:t>
      </w:r>
      <w:proofErr w:type="spellStart"/>
      <w:r>
        <w:t>Cntrl</w:t>
      </w:r>
      <w:proofErr w:type="spellEnd"/>
      <w:r>
        <w:t xml:space="preserve"> (Thy1-ASO-Control), and ASO-benCom or ASO-</w:t>
      </w:r>
      <w:r w:rsidRPr="00D541C0">
        <w:rPr>
          <w:i/>
          <w:iCs/>
        </w:rPr>
        <w:t>F. prausnitzii</w:t>
      </w:r>
      <w:r>
        <w:t xml:space="preserve"> (Thy1-ASO-Treated).</w:t>
      </w:r>
    </w:p>
    <w:p w14:paraId="5091145C" w14:textId="68C6ED1A" w:rsidR="00675624" w:rsidRDefault="00675624" w:rsidP="00D541C0">
      <w:pPr>
        <w:rPr>
          <w:u w:val="single"/>
        </w:rPr>
      </w:pPr>
      <w:r>
        <w:rPr>
          <w:u w:val="single"/>
        </w:rPr>
        <w:t>Data information</w:t>
      </w:r>
      <w:r w:rsidRPr="00B578F6">
        <w:rPr>
          <w:u w:val="single"/>
        </w:rPr>
        <w:t>:</w:t>
      </w:r>
    </w:p>
    <w:p w14:paraId="662DDAF3" w14:textId="67FC6690" w:rsidR="00675624" w:rsidRDefault="00675624" w:rsidP="00D541C0">
      <w:r>
        <w:t>Data is organized by behavior task with genotype, microbiome (WT, Thy1-ASO-Control, or Thy1-ASO-Treated), cage number, animal ID, and measurement listed in each. Units for measurements for each task are as follows:</w:t>
      </w:r>
    </w:p>
    <w:p w14:paraId="5BEBE231" w14:textId="7E35296F" w:rsidR="00675624" w:rsidRDefault="00675624" w:rsidP="00675624">
      <w:pPr>
        <w:spacing w:after="0" w:line="240" w:lineRule="auto"/>
      </w:pPr>
      <w:r>
        <w:t>Beam traversal (minutes)</w:t>
      </w:r>
    </w:p>
    <w:p w14:paraId="468633B9" w14:textId="1B51EFAD" w:rsidR="00675624" w:rsidRDefault="00675624" w:rsidP="00675624">
      <w:pPr>
        <w:spacing w:after="0" w:line="240" w:lineRule="auto"/>
      </w:pPr>
      <w:r>
        <w:t>Beam slips/step (</w:t>
      </w:r>
      <w:proofErr w:type="gramStart"/>
      <w:r>
        <w:t>number</w:t>
      </w:r>
      <w:proofErr w:type="gramEnd"/>
      <w:r>
        <w:t xml:space="preserve"> of slips / number of steps during beam trial)</w:t>
      </w:r>
    </w:p>
    <w:p w14:paraId="772477C0" w14:textId="022A223F" w:rsidR="00675624" w:rsidRDefault="00675624" w:rsidP="00675624">
      <w:pPr>
        <w:spacing w:after="0" w:line="240" w:lineRule="auto"/>
      </w:pPr>
      <w:r>
        <w:t>Pole descent (minutes)</w:t>
      </w:r>
    </w:p>
    <w:p w14:paraId="2C39F51F" w14:textId="24A5D61A" w:rsidR="00675624" w:rsidRDefault="00675624" w:rsidP="00675624">
      <w:pPr>
        <w:spacing w:after="0" w:line="240" w:lineRule="auto"/>
      </w:pPr>
      <w:r>
        <w:t>Wire hang (minutes)</w:t>
      </w:r>
    </w:p>
    <w:p w14:paraId="46286B56" w14:textId="3557F6A5" w:rsidR="00675624" w:rsidRDefault="00675624" w:rsidP="00675624">
      <w:pPr>
        <w:spacing w:after="0" w:line="240" w:lineRule="auto"/>
      </w:pPr>
      <w:r>
        <w:t>Adhesive removal (minutes)</w:t>
      </w:r>
    </w:p>
    <w:p w14:paraId="69232DE3" w14:textId="4E2E7B51" w:rsidR="00675624" w:rsidRDefault="00675624" w:rsidP="00675624">
      <w:pPr>
        <w:spacing w:after="0" w:line="240" w:lineRule="auto"/>
      </w:pPr>
      <w:r>
        <w:t>Hindlimb clasp (clasping score 0-3 – refer to Methods section in manuscript for description)</w:t>
      </w:r>
    </w:p>
    <w:p w14:paraId="1ACE666D" w14:textId="10000AB9" w:rsidR="00675624" w:rsidRDefault="00675624" w:rsidP="00675624">
      <w:pPr>
        <w:spacing w:after="0" w:line="240" w:lineRule="auto"/>
      </w:pPr>
      <w:r>
        <w:t>Fecal output (number of pellets)</w:t>
      </w:r>
    </w:p>
    <w:p w14:paraId="47BE99C4" w14:textId="25089D35" w:rsidR="00675624" w:rsidRDefault="00675624" w:rsidP="00675624">
      <w:pPr>
        <w:spacing w:after="0" w:line="240" w:lineRule="auto"/>
      </w:pPr>
      <w:r>
        <w:t>Fecal score (Bristol stool score - refer to Methods section in manuscript for description)</w:t>
      </w:r>
    </w:p>
    <w:p w14:paraId="08EE82BB" w14:textId="140AC633" w:rsidR="00675624" w:rsidRDefault="00675624" w:rsidP="00675624">
      <w:pPr>
        <w:spacing w:after="0" w:line="240" w:lineRule="auto"/>
      </w:pPr>
      <w:r>
        <w:t>Water content (% of water content of fecal pellet)</w:t>
      </w:r>
    </w:p>
    <w:p w14:paraId="17EE4B1B" w14:textId="6DBF1B44" w:rsidR="00675624" w:rsidRDefault="00675624" w:rsidP="00675624">
      <w:pPr>
        <w:spacing w:after="0" w:line="240" w:lineRule="auto"/>
      </w:pPr>
      <w:r>
        <w:t>Whole gut transit (minutes)</w:t>
      </w:r>
    </w:p>
    <w:p w14:paraId="5FD4152A" w14:textId="6EBEBB3A" w:rsidR="00675624" w:rsidRDefault="00675624" w:rsidP="00675624">
      <w:pPr>
        <w:spacing w:after="0" w:line="240" w:lineRule="auto"/>
      </w:pPr>
      <w:r>
        <w:t>Bead expulsion (minutes)</w:t>
      </w:r>
    </w:p>
    <w:p w14:paraId="6FF7F2AA" w14:textId="77777777" w:rsidR="00675624" w:rsidRPr="00675624" w:rsidRDefault="00675624" w:rsidP="00675624">
      <w:pPr>
        <w:spacing w:after="0" w:line="240" w:lineRule="auto"/>
      </w:pPr>
    </w:p>
    <w:p w14:paraId="4B404E58" w14:textId="77777777" w:rsidR="00D541C0" w:rsidRPr="00B578F6" w:rsidRDefault="00D541C0" w:rsidP="00D541C0">
      <w:pPr>
        <w:rPr>
          <w:u w:val="single"/>
        </w:rPr>
      </w:pPr>
      <w:r w:rsidRPr="00B578F6">
        <w:rPr>
          <w:u w:val="single"/>
        </w:rPr>
        <w:t>Methodology:</w:t>
      </w:r>
    </w:p>
    <w:p w14:paraId="2F5A1295" w14:textId="3CBD388D" w:rsidR="00CE564E" w:rsidRPr="007B6A28" w:rsidRDefault="00D541C0" w:rsidP="00CE564E">
      <w:pPr>
        <w:pStyle w:val="p1"/>
        <w:rPr>
          <w:sz w:val="24"/>
          <w:szCs w:val="24"/>
        </w:rPr>
      </w:pPr>
      <w:r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All methods are detailed in the methods section, under “</w:t>
      </w:r>
      <w:r w:rsidR="00675624"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 xml:space="preserve">Motor and gastrointestinal function </w:t>
      </w:r>
      <w:r w:rsidR="00CE564E"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testing</w:t>
      </w:r>
      <w:r w:rsidRPr="007B6A28"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t>” in the main manuscript, as well as made available on protocols.io:</w:t>
      </w:r>
      <w:r>
        <w:t xml:space="preserve"> </w:t>
      </w:r>
      <w:r w:rsidR="00CE564E" w:rsidRPr="007B6A28">
        <w:rPr>
          <w:sz w:val="24"/>
          <w:szCs w:val="24"/>
          <w:u w:val="single"/>
        </w:rPr>
        <w:t>dx.doi.org/10.17504/protocols.io.kxygx4znzl8j/v1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dx.doi.org/10.17504/protocols.io.8epv5k9mjv1b/v1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dx.doi.org/10.17504/protocols.io.6qpvrw62plmk/v1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dx.doi.org/10.17504/protocols.io.4r3l21objg1y/v1</w:t>
      </w:r>
      <w:r w:rsidR="00CE564E" w:rsidRPr="007B6A28">
        <w:rPr>
          <w:sz w:val="24"/>
          <w:szCs w:val="24"/>
        </w:rPr>
        <w:t>,  </w:t>
      </w:r>
      <w:r w:rsidR="00CE564E" w:rsidRPr="007B6A28">
        <w:rPr>
          <w:sz w:val="24"/>
          <w:szCs w:val="24"/>
          <w:u w:val="single"/>
        </w:rPr>
        <w:t>dx.doi.org/10.17504/protocols.io.eq2ly4n2m</w:t>
      </w:r>
      <w:r w:rsidR="00CE564E" w:rsidRPr="007B6A28">
        <w:rPr>
          <w:sz w:val="24"/>
          <w:szCs w:val="24"/>
          <w:u w:val="single"/>
        </w:rPr>
        <w:lastRenderedPageBreak/>
        <w:t>lx9/v1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dx.doi.org/10.17504/protocols.io.6qpvrw6qplmk/v1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dx.doi.org/10.17504/protocols.io.rm7vz9yq8gx1/v1</w:t>
      </w:r>
      <w:r w:rsidR="00CE564E" w:rsidRPr="007B6A28">
        <w:rPr>
          <w:sz w:val="24"/>
          <w:szCs w:val="24"/>
        </w:rPr>
        <w:t xml:space="preserve">, </w:t>
      </w:r>
      <w:r w:rsidR="00CE564E" w:rsidRPr="007B6A28">
        <w:rPr>
          <w:sz w:val="24"/>
          <w:szCs w:val="24"/>
          <w:u w:val="single"/>
        </w:rPr>
        <w:t>dx.doi.org/10.17504/protocols.io.n92ld6zn7g5b/v1</w:t>
      </w:r>
    </w:p>
    <w:p w14:paraId="7D0A759C" w14:textId="1FD9F44A" w:rsidR="00D541C0" w:rsidRPr="00CE564E" w:rsidRDefault="00D541C0" w:rsidP="00CE564E">
      <w:pPr>
        <w:pStyle w:val="p1"/>
        <w:rPr>
          <w:sz w:val="18"/>
          <w:szCs w:val="18"/>
        </w:rPr>
      </w:pPr>
    </w:p>
    <w:p w14:paraId="154ED43D" w14:textId="77777777" w:rsidR="00D541C0" w:rsidRPr="00AC2927" w:rsidRDefault="00D541C0" w:rsidP="00D541C0">
      <w:pPr>
        <w:rPr>
          <w:u w:val="single"/>
        </w:rPr>
      </w:pPr>
      <w:r w:rsidRPr="00AC2927">
        <w:rPr>
          <w:u w:val="single"/>
        </w:rPr>
        <w:t>Data access and sharing:</w:t>
      </w:r>
    </w:p>
    <w:p w14:paraId="4E1F9BFC" w14:textId="5449DD7D" w:rsidR="00B9574B" w:rsidRDefault="00D541C0">
      <w:r w:rsidRPr="00AC2927">
        <w:t>This research was funded in part by Aligning Science Across Parkinson’s (ASAP-020495 and ASAP-000375) through the Michael J. Fox Foundation for Parkinson’s Research (MJFF), as well as the Heritage Medical Research Institute to S.K.M. For the purpose of open access, the authors have applied a CC BY public copyright license</w:t>
      </w:r>
      <w:r w:rsidR="00B70A2A">
        <w:t>.</w:t>
      </w:r>
    </w:p>
    <w:sectPr w:rsidR="00B9574B" w:rsidSect="00634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C0"/>
    <w:rsid w:val="001A4F15"/>
    <w:rsid w:val="00445F3E"/>
    <w:rsid w:val="006345B1"/>
    <w:rsid w:val="00675624"/>
    <w:rsid w:val="007B6A28"/>
    <w:rsid w:val="009D70EC"/>
    <w:rsid w:val="00B70A2A"/>
    <w:rsid w:val="00B9574B"/>
    <w:rsid w:val="00CE564E"/>
    <w:rsid w:val="00D541C0"/>
    <w:rsid w:val="00DB415B"/>
    <w:rsid w:val="00E847A2"/>
    <w:rsid w:val="00EF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012D3"/>
  <w15:chartTrackingRefBased/>
  <w15:docId w15:val="{C909EB9F-A6B0-E943-A336-70A57F86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1C0"/>
  </w:style>
  <w:style w:type="paragraph" w:styleId="Heading1">
    <w:name w:val="heading 1"/>
    <w:basedOn w:val="Normal"/>
    <w:next w:val="Normal"/>
    <w:link w:val="Heading1Char"/>
    <w:uiPriority w:val="9"/>
    <w:qFormat/>
    <w:rsid w:val="00D5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541C0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0"/>
      <w:szCs w:val="30"/>
      <w14:ligatures w14:val="none"/>
    </w:rPr>
  </w:style>
  <w:style w:type="character" w:customStyle="1" w:styleId="apple-converted-space">
    <w:name w:val="apple-converted-space"/>
    <w:basedOn w:val="DefaultParagraphFont"/>
    <w:rsid w:val="00CE56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Moiseyenko, Anastasiya (Ana)</dc:creator>
  <cp:keywords/>
  <dc:description/>
  <cp:lastModifiedBy>Moiseyenko, Anastasiya (Ana)</cp:lastModifiedBy>
  <cp:revision>3</cp:revision>
  <dcterms:created xsi:type="dcterms:W3CDTF">2025-12-01T23:01:00Z</dcterms:created>
  <dcterms:modified xsi:type="dcterms:W3CDTF">2025-12-03T01:08:00Z</dcterms:modified>
</cp:coreProperties>
</file>