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A1EEA" w14:textId="77777777" w:rsidR="00422CE3" w:rsidRDefault="00422CE3" w:rsidP="00422CE3">
      <w:pPr>
        <w:pStyle w:val="p1"/>
      </w:pPr>
      <w:r>
        <w:rPr>
          <w:b/>
          <w:bCs/>
          <w:i/>
          <w:iCs/>
        </w:rPr>
        <w:t>Faecalibacterium prausnitzii</w:t>
      </w:r>
      <w:r>
        <w:rPr>
          <w:b/>
          <w:bCs/>
        </w:rPr>
        <w:t>, depleted in the</w:t>
      </w:r>
    </w:p>
    <w:p w14:paraId="1090BB45" w14:textId="77777777" w:rsidR="00422CE3" w:rsidRDefault="00422CE3" w:rsidP="00422CE3">
      <w:pPr>
        <w:pStyle w:val="p1"/>
      </w:pPr>
      <w:r>
        <w:rPr>
          <w:b/>
          <w:bCs/>
        </w:rPr>
        <w:t>Parkinson’s disease microbiome, improves motor</w:t>
      </w:r>
    </w:p>
    <w:p w14:paraId="1B6D0BC1" w14:textId="77777777" w:rsidR="00422CE3" w:rsidRDefault="00422CE3" w:rsidP="00422CE3">
      <w:pPr>
        <w:pStyle w:val="p1"/>
      </w:pPr>
      <w:r>
        <w:rPr>
          <w:b/>
          <w:bCs/>
        </w:rPr>
        <w:t>deficits in α-synuclein overexpressing mice</w:t>
      </w:r>
    </w:p>
    <w:p w14:paraId="41689BBE" w14:textId="6C962278" w:rsidR="00422CE3" w:rsidRDefault="00422CE3" w:rsidP="00422CE3">
      <w:proofErr w:type="spellStart"/>
      <w:r>
        <w:t>Bioplex</w:t>
      </w:r>
      <w:proofErr w:type="spellEnd"/>
      <w:r>
        <w:t xml:space="preserve"> data</w:t>
      </w:r>
      <w:r>
        <w:t xml:space="preserve"> </w:t>
      </w:r>
      <w:proofErr w:type="spellStart"/>
      <w:r>
        <w:t>READme</w:t>
      </w:r>
      <w:proofErr w:type="spellEnd"/>
      <w:r>
        <w:t xml:space="preserve"> 12/1/25</w:t>
      </w:r>
    </w:p>
    <w:p w14:paraId="652B9D71" w14:textId="77777777" w:rsidR="00422CE3" w:rsidRPr="00B578F6" w:rsidRDefault="00422CE3" w:rsidP="00422CE3">
      <w:pPr>
        <w:rPr>
          <w:u w:val="single"/>
        </w:rPr>
      </w:pPr>
      <w:r w:rsidRPr="00B578F6">
        <w:rPr>
          <w:u w:val="single"/>
        </w:rPr>
        <w:t>General overview:</w:t>
      </w:r>
    </w:p>
    <w:p w14:paraId="5543D496" w14:textId="7F89B4CA" w:rsidR="00422CE3" w:rsidRDefault="00422CE3" w:rsidP="00422CE3">
      <w:r>
        <w:t>This dataset includes all</w:t>
      </w:r>
      <w:r>
        <w:t xml:space="preserve"> intestinal</w:t>
      </w:r>
      <w:r>
        <w:t xml:space="preserve"> </w:t>
      </w:r>
      <w:r>
        <w:t xml:space="preserve">multiplex (Bio-plex) assay </w:t>
      </w:r>
      <w:r>
        <w:t>data generated following Thy1-ASO mouse treatment with vehicle (saline) or benCom-PD/</w:t>
      </w:r>
      <w:r w:rsidRPr="00D541C0">
        <w:rPr>
          <w:i/>
          <w:iCs/>
        </w:rPr>
        <w:t>F. prausnitzii</w:t>
      </w:r>
      <w:r>
        <w:t xml:space="preserve">. </w:t>
      </w:r>
    </w:p>
    <w:p w14:paraId="263F64D9" w14:textId="77777777" w:rsidR="00422CE3" w:rsidRPr="00B578F6" w:rsidRDefault="00422CE3" w:rsidP="00422CE3">
      <w:pPr>
        <w:rPr>
          <w:u w:val="single"/>
        </w:rPr>
      </w:pPr>
      <w:r w:rsidRPr="00B578F6">
        <w:rPr>
          <w:u w:val="single"/>
        </w:rPr>
        <w:t>File naming</w:t>
      </w:r>
      <w:r>
        <w:rPr>
          <w:u w:val="single"/>
        </w:rPr>
        <w:t>:</w:t>
      </w:r>
    </w:p>
    <w:p w14:paraId="690C90F3" w14:textId="74D3D399" w:rsidR="00422CE3" w:rsidRDefault="00422CE3" w:rsidP="00422CE3">
      <w:r>
        <w:t xml:space="preserve">Files are named by experiment: </w:t>
      </w:r>
      <w:r w:rsidRPr="00D541C0">
        <w:rPr>
          <w:i/>
          <w:iCs/>
        </w:rPr>
        <w:t>F. prausnitzii</w:t>
      </w:r>
      <w:r w:rsidRPr="00675624">
        <w:t>, with</w:t>
      </w:r>
      <w:r>
        <w:rPr>
          <w:i/>
          <w:iCs/>
        </w:rPr>
        <w:t xml:space="preserve"> </w:t>
      </w:r>
      <w:r w:rsidRPr="00D541C0">
        <w:t>“Fp1”</w:t>
      </w:r>
      <w:r>
        <w:t xml:space="preserve"> indicating</w:t>
      </w:r>
      <w:r w:rsidRPr="00D541C0">
        <w:t xml:space="preserve"> </w:t>
      </w:r>
      <w:r w:rsidRPr="00D541C0">
        <w:rPr>
          <w:i/>
          <w:iCs/>
        </w:rPr>
        <w:t>F. prausnitzii</w:t>
      </w:r>
      <w:r w:rsidRPr="00D541C0">
        <w:t xml:space="preserve"> cohort 1 and “Fp2” </w:t>
      </w:r>
      <w:r>
        <w:t xml:space="preserve">indicating </w:t>
      </w:r>
      <w:r w:rsidRPr="00D541C0">
        <w:rPr>
          <w:i/>
          <w:iCs/>
        </w:rPr>
        <w:t>F. prausnitzii</w:t>
      </w:r>
      <w:r w:rsidRPr="00D541C0">
        <w:t xml:space="preserve"> cohort 2</w:t>
      </w:r>
      <w:r>
        <w:t>.</w:t>
      </w:r>
    </w:p>
    <w:p w14:paraId="0343AF20" w14:textId="77777777" w:rsidR="00422CE3" w:rsidRDefault="00422CE3" w:rsidP="00422CE3">
      <w:pPr>
        <w:rPr>
          <w:u w:val="single"/>
        </w:rPr>
      </w:pPr>
      <w:r>
        <w:rPr>
          <w:u w:val="single"/>
        </w:rPr>
        <w:t>Data information</w:t>
      </w:r>
      <w:r w:rsidRPr="00B578F6">
        <w:rPr>
          <w:u w:val="single"/>
        </w:rPr>
        <w:t>:</w:t>
      </w:r>
    </w:p>
    <w:p w14:paraId="06383B00" w14:textId="2A3FAF00" w:rsidR="00422CE3" w:rsidRDefault="00422CE3" w:rsidP="00422CE3">
      <w:r>
        <w:t xml:space="preserve">Data is organized by </w:t>
      </w:r>
      <w:r>
        <w:t>instrument readout, with tabs for Observed concentration, Fluorescence, Expected Concentration, Bead Count, and Standard Curve.</w:t>
      </w:r>
    </w:p>
    <w:p w14:paraId="363C2FAA" w14:textId="41B632D7" w:rsidR="00422CE3" w:rsidRDefault="00422CE3" w:rsidP="00187C8F">
      <w:r>
        <w:t xml:space="preserve">Observed concentration shows readouts in </w:t>
      </w:r>
      <w:proofErr w:type="spellStart"/>
      <w:r>
        <w:t>pg</w:t>
      </w:r>
      <w:proofErr w:type="spellEnd"/>
      <w:r>
        <w:t>/ml relative to standards. Fluorescence shows readouts of raw signal detected from each sample before applying standard curves.</w:t>
      </w:r>
      <w:r w:rsidR="00187C8F">
        <w:t xml:space="preserve"> Expected concentration shows the known concentration of standard prior to measurement. Bead count indicates the number of beads counted by the machine in each well, data is collected only from the first 50 beads. </w:t>
      </w:r>
      <w:r w:rsidR="00187C8F" w:rsidRPr="00187C8F">
        <w:t>Standard curve displays the measured fluorescence values for the known standards.</w:t>
      </w:r>
    </w:p>
    <w:p w14:paraId="580D2873" w14:textId="7F88AB99" w:rsidR="00187C8F" w:rsidRPr="00187C8F" w:rsidRDefault="00187C8F" w:rsidP="00187C8F">
      <w:r>
        <w:t>Data within tabs is organized by well, cytokine measured, treatment group (WT, Thy1-ASO-Control, Thy1-ASO-</w:t>
      </w:r>
      <w:r>
        <w:rPr>
          <w:i/>
          <w:iCs/>
        </w:rPr>
        <w:t>F. prausnitzii</w:t>
      </w:r>
      <w:r>
        <w:t xml:space="preserve">), and sample number. </w:t>
      </w:r>
    </w:p>
    <w:p w14:paraId="3DFD5D3B" w14:textId="77777777" w:rsidR="00422CE3" w:rsidRPr="00B578F6" w:rsidRDefault="00422CE3" w:rsidP="00422CE3">
      <w:pPr>
        <w:rPr>
          <w:u w:val="single"/>
        </w:rPr>
      </w:pPr>
      <w:r w:rsidRPr="00B578F6">
        <w:rPr>
          <w:u w:val="single"/>
        </w:rPr>
        <w:t>Methodology:</w:t>
      </w:r>
    </w:p>
    <w:p w14:paraId="3BEE7D6C" w14:textId="77C60CB9" w:rsidR="00422CE3" w:rsidRPr="00422CE3" w:rsidRDefault="00422CE3" w:rsidP="00422CE3">
      <w:pPr>
        <w:pStyle w:val="p1"/>
        <w:rPr>
          <w:rFonts w:asciiTheme="minorHAnsi" w:eastAsiaTheme="minorHAnsi" w:hAnsiTheme="minorHAnsi" w:cstheme="minorBidi"/>
          <w:color w:val="auto"/>
          <w:kern w:val="2"/>
          <w:sz w:val="24"/>
          <w:szCs w:val="24"/>
          <w14:ligatures w14:val="standardContextual"/>
        </w:rPr>
      </w:pPr>
      <w:r w:rsidRPr="00422CE3">
        <w:rPr>
          <w:rFonts w:asciiTheme="minorHAnsi" w:eastAsiaTheme="minorHAnsi" w:hAnsiTheme="minorHAnsi" w:cstheme="minorBidi"/>
          <w:color w:val="auto"/>
          <w:kern w:val="2"/>
          <w:sz w:val="24"/>
          <w:szCs w:val="24"/>
          <w14:ligatures w14:val="standardContextual"/>
        </w:rPr>
        <w:t>All methods are detailed in the methods section, under “</w:t>
      </w:r>
      <w:r w:rsidRPr="00422CE3">
        <w:rPr>
          <w:rFonts w:asciiTheme="minorHAnsi" w:eastAsiaTheme="minorHAnsi" w:hAnsiTheme="minorHAnsi" w:cstheme="minorBidi"/>
          <w:color w:val="auto"/>
          <w:kern w:val="2"/>
          <w:sz w:val="24"/>
          <w:szCs w:val="24"/>
          <w14:ligatures w14:val="standardContextual"/>
        </w:rPr>
        <w:t>Protein assays</w:t>
      </w:r>
      <w:r w:rsidRPr="00422CE3">
        <w:rPr>
          <w:rFonts w:asciiTheme="minorHAnsi" w:eastAsiaTheme="minorHAnsi" w:hAnsiTheme="minorHAnsi" w:cstheme="minorBidi"/>
          <w:color w:val="auto"/>
          <w:kern w:val="2"/>
          <w:sz w:val="24"/>
          <w:szCs w:val="24"/>
          <w14:ligatures w14:val="standardContextual"/>
        </w:rPr>
        <w:t>” in the main manuscript</w:t>
      </w:r>
      <w:r w:rsidRPr="00422CE3">
        <w:rPr>
          <w:rFonts w:asciiTheme="minorHAnsi" w:eastAsiaTheme="minorHAnsi" w:hAnsiTheme="minorHAnsi" w:cstheme="minorBidi"/>
          <w:color w:val="auto"/>
          <w:kern w:val="2"/>
          <w:sz w:val="24"/>
          <w:szCs w:val="24"/>
          <w14:ligatures w14:val="standardContextual"/>
        </w:rPr>
        <w:t>.</w:t>
      </w:r>
    </w:p>
    <w:p w14:paraId="474E5BAB" w14:textId="77777777" w:rsidR="00422CE3" w:rsidRPr="00CE564E" w:rsidRDefault="00422CE3" w:rsidP="00422CE3">
      <w:pPr>
        <w:pStyle w:val="p1"/>
        <w:rPr>
          <w:sz w:val="18"/>
          <w:szCs w:val="18"/>
        </w:rPr>
      </w:pPr>
    </w:p>
    <w:p w14:paraId="241F9B3F" w14:textId="77777777" w:rsidR="00422CE3" w:rsidRPr="00AC2927" w:rsidRDefault="00422CE3" w:rsidP="00422CE3">
      <w:pPr>
        <w:rPr>
          <w:u w:val="single"/>
        </w:rPr>
      </w:pPr>
      <w:r w:rsidRPr="00AC2927">
        <w:rPr>
          <w:u w:val="single"/>
        </w:rPr>
        <w:t>Data access and sharing:</w:t>
      </w:r>
    </w:p>
    <w:p w14:paraId="6B93777B" w14:textId="7FFC3102" w:rsidR="00422CE3" w:rsidRPr="00AC2927" w:rsidRDefault="00422CE3" w:rsidP="00422CE3">
      <w:r w:rsidRPr="00AC2927">
        <w:t xml:space="preserve">This research was funded in part by Aligning Science Across Parkinson’s (ASAP-020495 and ASAP-000375) through the Michael J. Fox Foundation for Parkinson’s Research (MJFF), as well as the Heritage Medical Research Institute to S.K.M. </w:t>
      </w:r>
      <w:proofErr w:type="gramStart"/>
      <w:r w:rsidRPr="00AC2927">
        <w:t>For the purpose of</w:t>
      </w:r>
      <w:proofErr w:type="gramEnd"/>
      <w:r w:rsidRPr="00AC2927">
        <w:t xml:space="preserve"> open access, the authors have applied a CC BY public copyright license</w:t>
      </w:r>
      <w:r w:rsidR="00A87303">
        <w:t>.</w:t>
      </w:r>
    </w:p>
    <w:p w14:paraId="27FD221E" w14:textId="5AB9A9D5" w:rsidR="00B9574B" w:rsidRDefault="00422CE3">
      <w:r w:rsidRPr="00AC2927">
        <w:t xml:space="preserve"> </w:t>
      </w:r>
    </w:p>
    <w:sectPr w:rsidR="00B9574B" w:rsidSect="006345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CE3"/>
    <w:rsid w:val="00187C8F"/>
    <w:rsid w:val="001A4F15"/>
    <w:rsid w:val="00422CE3"/>
    <w:rsid w:val="00445F3E"/>
    <w:rsid w:val="006345B1"/>
    <w:rsid w:val="009D70EC"/>
    <w:rsid w:val="00A87303"/>
    <w:rsid w:val="00B9574B"/>
    <w:rsid w:val="00DB415B"/>
    <w:rsid w:val="00E847A2"/>
    <w:rsid w:val="00EF7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46F4A5"/>
  <w15:chartTrackingRefBased/>
  <w15:docId w15:val="{5B2BB4E5-A2D8-EC4D-8EA5-83ED7997F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E3"/>
  </w:style>
  <w:style w:type="paragraph" w:styleId="Heading1">
    <w:name w:val="heading 1"/>
    <w:basedOn w:val="Normal"/>
    <w:next w:val="Normal"/>
    <w:link w:val="Heading1Char"/>
    <w:uiPriority w:val="9"/>
    <w:qFormat/>
    <w:rsid w:val="00422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CE3"/>
    <w:rPr>
      <w:rFonts w:eastAsiaTheme="majorEastAsia" w:cstheme="majorBidi"/>
      <w:color w:val="272727" w:themeColor="text1" w:themeTint="D8"/>
    </w:rPr>
  </w:style>
  <w:style w:type="paragraph" w:styleId="Title">
    <w:name w:val="Title"/>
    <w:basedOn w:val="Normal"/>
    <w:next w:val="Normal"/>
    <w:link w:val="TitleChar"/>
    <w:uiPriority w:val="10"/>
    <w:qFormat/>
    <w:rsid w:val="00422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CE3"/>
    <w:pPr>
      <w:spacing w:before="160"/>
      <w:jc w:val="center"/>
    </w:pPr>
    <w:rPr>
      <w:i/>
      <w:iCs/>
      <w:color w:val="404040" w:themeColor="text1" w:themeTint="BF"/>
    </w:rPr>
  </w:style>
  <w:style w:type="character" w:customStyle="1" w:styleId="QuoteChar">
    <w:name w:val="Quote Char"/>
    <w:basedOn w:val="DefaultParagraphFont"/>
    <w:link w:val="Quote"/>
    <w:uiPriority w:val="29"/>
    <w:rsid w:val="00422CE3"/>
    <w:rPr>
      <w:i/>
      <w:iCs/>
      <w:color w:val="404040" w:themeColor="text1" w:themeTint="BF"/>
    </w:rPr>
  </w:style>
  <w:style w:type="paragraph" w:styleId="ListParagraph">
    <w:name w:val="List Paragraph"/>
    <w:basedOn w:val="Normal"/>
    <w:uiPriority w:val="34"/>
    <w:qFormat/>
    <w:rsid w:val="00422CE3"/>
    <w:pPr>
      <w:ind w:left="720"/>
      <w:contextualSpacing/>
    </w:pPr>
  </w:style>
  <w:style w:type="character" w:styleId="IntenseEmphasis">
    <w:name w:val="Intense Emphasis"/>
    <w:basedOn w:val="DefaultParagraphFont"/>
    <w:uiPriority w:val="21"/>
    <w:qFormat/>
    <w:rsid w:val="00422CE3"/>
    <w:rPr>
      <w:i/>
      <w:iCs/>
      <w:color w:val="0F4761" w:themeColor="accent1" w:themeShade="BF"/>
    </w:rPr>
  </w:style>
  <w:style w:type="paragraph" w:styleId="IntenseQuote">
    <w:name w:val="Intense Quote"/>
    <w:basedOn w:val="Normal"/>
    <w:next w:val="Normal"/>
    <w:link w:val="IntenseQuoteChar"/>
    <w:uiPriority w:val="30"/>
    <w:qFormat/>
    <w:rsid w:val="00422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CE3"/>
    <w:rPr>
      <w:i/>
      <w:iCs/>
      <w:color w:val="0F4761" w:themeColor="accent1" w:themeShade="BF"/>
    </w:rPr>
  </w:style>
  <w:style w:type="character" w:styleId="IntenseReference">
    <w:name w:val="Intense Reference"/>
    <w:basedOn w:val="DefaultParagraphFont"/>
    <w:uiPriority w:val="32"/>
    <w:qFormat/>
    <w:rsid w:val="00422CE3"/>
    <w:rPr>
      <w:b/>
      <w:bCs/>
      <w:smallCaps/>
      <w:color w:val="0F4761" w:themeColor="accent1" w:themeShade="BF"/>
      <w:spacing w:val="5"/>
    </w:rPr>
  </w:style>
  <w:style w:type="paragraph" w:customStyle="1" w:styleId="p1">
    <w:name w:val="p1"/>
    <w:basedOn w:val="Normal"/>
    <w:rsid w:val="00422CE3"/>
    <w:pPr>
      <w:spacing w:after="0" w:line="240" w:lineRule="auto"/>
    </w:pPr>
    <w:rPr>
      <w:rFonts w:ascii="Times New Roman" w:eastAsia="Times New Roman" w:hAnsi="Times New Roman" w:cs="Times New Roman"/>
      <w:color w:val="000000"/>
      <w:kern w:val="0"/>
      <w:sz w:val="30"/>
      <w:szCs w:val="3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259</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Moiseyenko, Anastasiya (Ana)</dc:creator>
  <cp:keywords/>
  <dc:description/>
  <cp:lastModifiedBy>Moiseyenko, Anastasiya (Ana)</cp:lastModifiedBy>
  <cp:revision>2</cp:revision>
  <dcterms:created xsi:type="dcterms:W3CDTF">2025-12-03T00:44:00Z</dcterms:created>
  <dcterms:modified xsi:type="dcterms:W3CDTF">2025-12-03T01:07:00Z</dcterms:modified>
</cp:coreProperties>
</file>