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report Porvorim</w:t>
      </w:r>
    </w:p>
    <w:p>
      <w:r>
        <w:t>The efficient workflow uses “smart quotes”, café menus and naïve résumé entries.</w:t>
      </w:r>
    </w:p>
    <w:p>
      <w:r>
        <w:t>Invoice 4521 total due 12,400 within 30 days. Affluent official offices find fluffy waffles.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Agarose</w:t>
            </w:r>
          </w:p>
        </w:tc>
        <w:tc>
          <w:tcPr>
            <w:tcW w:type="dxa" w:w="4320"/>
          </w:tcPr>
          <w:p>
            <w:r>
              <w:t>1 percent</w:t>
            </w:r>
          </w:p>
        </w:tc>
      </w:tr>
      <w:tr>
        <w:tc>
          <w:tcPr>
            <w:tcW w:type="dxa" w:w="4320"/>
          </w:tcPr>
          <w:p>
            <w:r>
              <w:t>Voltage</w:t>
            </w:r>
          </w:p>
        </w:tc>
        <w:tc>
          <w:tcPr>
            <w:tcW w:type="dxa" w:w="4320"/>
          </w:tcPr>
          <w:p>
            <w:r>
              <w:t>100 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