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52"/>
        </w:rPr>
        <w:t>RUTAS SALUDABLES DE BIZKAIA</w:t>
      </w:r>
    </w:p>
    <w:p>
      <w:pPr>
        <w:jc w:val="center"/>
      </w:pPr>
      <w:r>
        <w:rPr>
          <w:rFonts w:ascii="Aptos Display" w:hAnsi="Aptos Display"/>
          <w:color w:val="35A7A0"/>
          <w:sz w:val="30"/>
        </w:rPr>
        <w:t>Documentación funcional y visual del dashboard completo</w:t>
      </w:r>
    </w:p>
    <w:p>
      <w:pPr>
        <w:jc w:val="center"/>
      </w:pPr>
      <w:r>
        <w:rPr>
          <w:color w:val="5F6B73"/>
          <w:sz w:val="22"/>
        </w:rPr>
        <w:t>Power BI · Cobertura, accesibilidad, seguridad y esfuerzo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7F8"/>
          </w:tcPr>
          <w:p>
            <w:r>
              <w:rPr>
                <w:color w:val="17324D"/>
                <w:sz w:val="20"/>
              </w:rPr>
              <w:t>Este documento recoge las decisiones de diseño, las medidas empleadas y la lógica analítica de las dos primeras páginas del dashboard. El objetivo es dejar una trazabilidad clara del trabajo realizado y facilitar futuras mejoras del modelo.</w:t>
            </w:r>
          </w:p>
        </w:tc>
      </w:tr>
    </w:tbl>
    <w:p>
      <w:r>
        <w:br w:type="page"/>
      </w:r>
    </w:p>
    <w:p>
      <w:pPr>
        <w:pStyle w:val="Heading1"/>
      </w:pPr>
      <w:r>
        <w:t>1. Sistema visual común</w:t>
      </w:r>
    </w:p>
    <w:p>
      <w:r>
        <w:t>Las dos páginas comparten una identidad visual coherente para reforzar la sensación de producto único y facilitar la lectura del informe.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Cabecera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HTML Content con fondo azul oscuro, título, subtítulo e icono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Crear jerarquía y consistencia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Tarjetas KPI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HTML Content, fondo blanco, sombra suave y esquinas redondeadas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Destacar métricas clave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Color principal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#35A7A0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Representar análisis y salud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Escala semántica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Verde / ámbar / rojo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Comunicar alta, media y baja valoración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Fondo de página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#F5F7F8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Reducir ruido visual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Tipografía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Segoe UI / Aptos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Máxima legibilidad</w:t>
            </w:r>
          </w:p>
        </w:tc>
      </w:tr>
    </w:tbl>
    <w:p/>
    <w:p>
      <w:pPr>
        <w:pStyle w:val="Heading1"/>
      </w:pPr>
      <w:r>
        <w:t>2. Página 01 — Resumen general</w:t>
      </w:r>
    </w:p>
    <w:p>
      <w:r>
        <w:t>La primera página funciona como Executive Overview. Su misión es responder en pocos segundos a tres preguntas: cuántas rutas existen, qué alcance territorial tienen y en qué comarcas se concentra la oferta.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17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9de343-3297-439f-ba40-92a87db259b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3"/>
          <w:sz w:val="18"/>
        </w:rPr>
        <w:t>Figura 1. Página 01 — Resumen general</w:t>
      </w:r>
    </w:p>
    <w:p>
      <w:pPr>
        <w:pStyle w:val="Heading2"/>
      </w:pPr>
      <w:r>
        <w:t>2.1. Objetivo de la página</w:t>
      </w:r>
    </w:p>
    <w:p>
      <w:r>
        <w:t>Ofrecer una visión ejecutiva del conjunto de datos y permitir identificar rápidamente la magnitud del catálogo y su distribución territorial.</w:t>
      </w:r>
    </w:p>
    <w:p>
      <w:pPr>
        <w:pStyle w:val="Heading2"/>
      </w:pPr>
      <w:r>
        <w:t>2.2. KPIs incluidos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KPI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Medida DAX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Valor mostrado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Interpretación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Total rutas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[Total Rutas]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160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Número total de recorridos disponibles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Municipios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[Municipios con Rutas]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Municipios con al menos una ruta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Kilómetros totales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[Kilómetros Totales]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918,4 km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Distancia acumulada del conjunto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Longitud media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[Longitud Media Ruta]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5,74 km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Promedio de distancia por recorrido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Accesibilidad alta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[% Rutas con Accesibilidad Alta]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34,4 %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Peso de rutas con valoración alta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Seguridad alta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[% Rutas con Seguridad Alta]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33,8 %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Peso de rutas con valoración alta</w:t>
            </w:r>
          </w:p>
        </w:tc>
      </w:tr>
    </w:tbl>
    <w:p>
      <w:pPr>
        <w:pStyle w:val="Heading2"/>
      </w:pPr>
      <w:r>
        <w:t>2.3. Visual territorial</w:t>
      </w:r>
    </w:p>
    <w:p>
      <w:r>
        <w:t>Se utiliza un gráfico de barras horizontales con NombreComarca en el eje de categorías y [Total Rutas] como valor. El orden descendente permite comparar rápidamente la concentración territorial.</w:t>
      </w:r>
    </w:p>
    <w:p>
      <w:r>
        <w:rPr>
          <w:b/>
          <w:color w:val="17324D"/>
        </w:rPr>
        <w:t xml:space="preserve">Insight principal: </w:t>
      </w:r>
      <w:r>
        <w:t>Busturialdea y Enkarterriak concentran el mayor número de rutas, mientras que Arratia-Amorebieta presenta la menor oferta.</w:t>
      </w:r>
    </w:p>
    <w:p>
      <w:pPr>
        <w:pStyle w:val="Heading2"/>
      </w:pPr>
      <w:r>
        <w:t>2.4. Decisiones de diseño</w:t>
      </w:r>
    </w:p>
    <w:p>
      <w:pPr>
        <w:pStyle w:val="ListBullet"/>
      </w:pPr>
      <w:r>
        <w:t>Se evitó añadir más visuales para no sobrecargar el resumen.</w:t>
      </w:r>
    </w:p>
    <w:p>
      <w:pPr>
        <w:pStyle w:val="ListBullet"/>
      </w:pPr>
      <w:r>
        <w:t>Los KPI se organizan en una cuadrícula de dos columnas por tres filas.</w:t>
      </w:r>
    </w:p>
    <w:p>
      <w:pPr>
        <w:pStyle w:val="ListBullet"/>
      </w:pPr>
      <w:r>
        <w:t>El gráfico principal ocupa la mitad derecha de la página para equilibrar peso visual.</w:t>
      </w:r>
    </w:p>
    <w:p>
      <w:pPr>
        <w:pStyle w:val="ListBullet"/>
      </w:pPr>
      <w:r>
        <w:t>Las etiquetas de datos permanecen visibles y el eje cuantitativo se simplifica.</w:t>
      </w:r>
    </w:p>
    <w:p>
      <w:pPr>
        <w:pStyle w:val="ListBullet"/>
      </w:pPr>
      <w:r>
        <w:t>El título del gráfico está redactado como conclusión y no como descripción técnica.</w:t>
      </w:r>
    </w:p>
    <w:p>
      <w:r>
        <w:br w:type="page"/>
      </w:r>
    </w:p>
    <w:p>
      <w:pPr>
        <w:pStyle w:val="Heading1"/>
      </w:pPr>
      <w:r>
        <w:t>3. Página 02 — Accesibilidad y seguridad</w:t>
      </w:r>
    </w:p>
    <w:p>
      <w:r>
        <w:t>La segunda página profundiza en la calidad funcional de las rutas. Permite evaluar de forma separada y conjunta los niveles de accesibilidad y seguridad, además de filtrar por comarca.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87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e92673-1470-40d6-bce5-688b553298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3"/>
          <w:sz w:val="18"/>
        </w:rPr>
        <w:t>Figura 2. Página 02 — Accesibilidad y seguridad</w:t>
      </w:r>
    </w:p>
    <w:p>
      <w:pPr>
        <w:pStyle w:val="Heading2"/>
      </w:pPr>
      <w:r>
        <w:t>3.1. Objetivo de la página</w:t>
      </w:r>
    </w:p>
    <w:p>
      <w:r>
        <w:t>Analizar cómo se distribuyen las rutas entre niveles altos, medios y bajos de accesibilidad y seguridad, y detectar combinaciones que puedan representar fortalezas u oportunidades de mejora.</w:t>
      </w:r>
    </w:p>
    <w:p>
      <w:pPr>
        <w:pStyle w:val="Heading2"/>
      </w:pPr>
      <w:r>
        <w:t>3.2. Elementos incluidos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 o medida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Segmentador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NombreComarca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Filtrar toda la página por comarca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KPI accesibilidad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[% Rutas con Accesibilidad Alta]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Mostrar el porcentaje global o filtrado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KPI seguridad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[% Rutas con Seguridad Alta]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Mostrar el porcentaje global o filtrado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Gráfico accesibilidad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DescripcionAccesibilidadES + [Total Rutas]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Comparar Alta, Media y Baja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Gráfico seguridad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DescripcionSeguridadES + [Total Rutas]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Comparar Alta, Media y Baja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Matriz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Accesibilidad × Seguridad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Analizar las nueve combinaciones posibles</w:t>
            </w:r>
          </w:p>
        </w:tc>
      </w:tr>
    </w:tbl>
    <w:p>
      <w:pPr>
        <w:pStyle w:val="Heading2"/>
      </w:pPr>
      <w:r>
        <w:t>3.3. Orden semántico de categorías</w:t>
      </w:r>
    </w:p>
    <w:p>
      <w:r>
        <w:t>Para evitar el orden alfabético de Power BI, se crearon columnas auxiliares de orden. Esto permite mantener una lectura lógica y estable.</w:t>
      </w:r>
    </w:p>
    <w:p>
      <w:pPr/>
      <w:r>
        <w:rPr>
          <w:rFonts w:ascii="Consolas" w:hAnsi="Consolas"/>
          <w:sz w:val="17"/>
        </w:rPr>
        <w:t>OrdenAccesibilidad =</w:t>
        <w:br/>
        <w:t>SWITCH(</w:t>
        <w:br/>
        <w:t xml:space="preserve">    FactRoutes[DescripcionAccesibilidadES],</w:t>
        <w:br/>
        <w:t xml:space="preserve">    "Alta", 1,</w:t>
        <w:br/>
        <w:t xml:space="preserve">    "Media", 2,</w:t>
        <w:br/>
        <w:t xml:space="preserve">    "Baja", 3,</w:t>
        <w:br/>
        <w:t xml:space="preserve">    99</w:t>
        <w:br/>
        <w:t>)</w:t>
        <w:br/>
        <w:br/>
        <w:t>OrdenSeguridad =</w:t>
        <w:br/>
        <w:t>SWITCH(</w:t>
        <w:br/>
        <w:t xml:space="preserve">    FactRoutes[DescripcionSeguridadES],</w:t>
        <w:br/>
        <w:t xml:space="preserve">    "Alta", 1,</w:t>
        <w:br/>
        <w:t xml:space="preserve">    "Media", 2,</w:t>
        <w:br/>
        <w:t xml:space="preserve">    "Baja", 3,</w:t>
        <w:br/>
        <w:t xml:space="preserve">    99</w:t>
        <w:br/>
        <w:t>)</w:t>
      </w:r>
    </w:p>
    <w:p>
      <w:r>
        <w:t>Después, cada columna descriptiva se configuró con Herramientas de columna → Ordenar por columna.</w:t>
      </w:r>
    </w:p>
    <w:p>
      <w:pPr>
        <w:pStyle w:val="Heading2"/>
      </w:pPr>
      <w:r>
        <w:t>3.4. Matriz Accesibilidad × Seguridad</w:t>
      </w:r>
    </w:p>
    <w:p>
      <w:r>
        <w:t>La matriz cruza los tres niveles de accesibilidad con los tres niveles de seguridad. Se aplicó formato condicional mediante una escala de color para que las concentraciones mayores destaquen visualmente.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Accesibilidad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Alta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Media</w:t>
            </w:r>
          </w:p>
        </w:tc>
        <w:tc>
          <w:tcPr>
            <w:tcW w:type="dxa" w:w="2556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Baja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Alta</w:t>
            </w:r>
          </w:p>
        </w:tc>
        <w:tc>
          <w:tcPr>
            <w:tcW w:type="dxa" w:w="2556"/>
            <w:vAlign w:val="center"/>
            <w:shd w:fill="D9EFEC"/>
          </w:tcPr>
          <w:p>
            <w:r/>
            <w:r>
              <w:rPr>
                <w:rFonts w:ascii="Aptos" w:hAnsi="Aptos"/>
                <w:b w:val="0"/>
                <w:sz w:val="18"/>
              </w:rPr>
              <w:t>35</w:t>
            </w:r>
          </w:p>
        </w:tc>
        <w:tc>
          <w:tcPr>
            <w:tcW w:type="dxa" w:w="2556"/>
            <w:vAlign w:val="center"/>
            <w:shd w:fill="EAF5F3"/>
          </w:tcPr>
          <w:p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2556"/>
            <w:vAlign w:val="center"/>
            <w:shd w:fill="F4F8F8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Media</w:t>
            </w:r>
          </w:p>
        </w:tc>
        <w:tc>
          <w:tcPr>
            <w:tcW w:type="dxa" w:w="2556"/>
            <w:vAlign w:val="center"/>
            <w:shd w:fill="EAF5F3"/>
          </w:tcPr>
          <w:p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2556"/>
            <w:vAlign w:val="center"/>
            <w:shd w:fill="35A7A0"/>
          </w:tcPr>
          <w:p>
            <w:r/>
            <w:r>
              <w:rPr>
                <w:rFonts w:ascii="Aptos" w:hAnsi="Aptos"/>
                <w:b w:val="0"/>
                <w:sz w:val="18"/>
              </w:rPr>
              <w:t>45</w:t>
            </w:r>
          </w:p>
        </w:tc>
        <w:tc>
          <w:tcPr>
            <w:tcW w:type="dxa" w:w="2556"/>
            <w:vAlign w:val="center"/>
            <w:shd w:fill="EAF5F3"/>
          </w:tcPr>
          <w:p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Baja</w:t>
            </w:r>
          </w:p>
        </w:tc>
        <w:tc>
          <w:tcPr>
            <w:tcW w:type="dxa" w:w="2556"/>
            <w:vAlign w:val="center"/>
            <w:shd w:fill="F4F8F8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center"/>
            <w:shd w:fill="D9EFEC"/>
          </w:tcPr>
          <w:p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2556"/>
            <w:vAlign w:val="center"/>
            <w:shd w:fill="F4F8F8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</w:tr>
    </w:tbl>
    <w:p>
      <w:pPr>
        <w:pStyle w:val="Heading2"/>
      </w:pPr>
      <w:r>
        <w:t>3.5. Principales conclusiones</w:t>
      </w:r>
    </w:p>
    <w:p>
      <w:pPr>
        <w:pStyle w:val="ListBullet"/>
      </w:pPr>
      <w:r>
        <w:t>La accesibilidad media concentra 75 rutas, equivalentes al 46,9 % del total.</w:t>
      </w:r>
    </w:p>
    <w:p>
      <w:pPr>
        <w:pStyle w:val="ListBullet"/>
      </w:pPr>
      <w:r>
        <w:t>La seguridad media es la categoría más frecuente, con 79 rutas.</w:t>
      </w:r>
    </w:p>
    <w:p>
      <w:pPr>
        <w:pStyle w:val="ListBullet"/>
      </w:pPr>
      <w:r>
        <w:t>La combinación más común es accesibilidad media y seguridad media, con 45 rutas.</w:t>
      </w:r>
    </w:p>
    <w:p>
      <w:pPr>
        <w:pStyle w:val="ListBullet"/>
      </w:pPr>
      <w:r>
        <w:t>Existen 35 rutas que combinan accesibilidad alta y seguridad alta.</w:t>
      </w:r>
    </w:p>
    <w:p>
      <w:pPr>
        <w:pStyle w:val="ListBullet"/>
      </w:pPr>
      <w:r>
        <w:t>Los niveles bajos son minoritarios, pero constituyen el principal foco para análisis y mejora.</w:t>
      </w:r>
    </w:p>
    <w:p>
      <w:pPr>
        <w:pStyle w:val="Heading2"/>
      </w:pPr>
      <w:r>
        <w:t>3.6. Interacción</w:t>
      </w:r>
    </w:p>
    <w:p>
      <w:r>
        <w:t>El segmentador de comarca afecta a los KPI, los dos gráficos y la matriz. De esta forma, el usuario puede pasar de una lectura global a una lectura territorial sin cambiar de página.</w:t>
      </w:r>
    </w:p>
    <w:p/>
    <w:p>
      <w:r>
        <w:br w:type="page"/>
      </w:r>
    </w:p>
    <w:p>
      <w:pPr>
        <w:pStyle w:val="Heading1"/>
      </w:pPr>
      <w:r>
        <w:t>4. Página 03 — Esfuerzo y dificultad</w:t>
      </w:r>
    </w:p>
    <w:p>
      <w:r>
        <w:t>Esta página analiza el esfuerzo asociado a los recorridos y compara la dificultad oficial con una clasificación analítica propia basada en distancia, tiempo y desnivel positivo.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80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25b2e0-d976-45f3-b817-f03da0532e7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0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3"/>
          <w:sz w:val="18"/>
        </w:rPr>
        <w:t>Figura 3. Página 03 — Esfuerzo y dificultad</w:t>
      </w:r>
    </w:p>
    <w:p>
      <w:pPr>
        <w:pStyle w:val="Heading2"/>
      </w:pPr>
      <w:r>
        <w:t>4.1. Objetivo de la página</w:t>
      </w:r>
    </w:p>
    <w:p>
      <w:r>
        <w:t>Medir la exigencia de las rutas, identificar la distribución de la dificultad oficial y detectar posibles diferencias entre esa valoración y el esfuerzo calculado a partir de variables cuantitativas.</w:t>
      </w:r>
    </w:p>
    <w:p>
      <w:pPr>
        <w:pStyle w:val="Heading2"/>
      </w:pPr>
      <w:r>
        <w:t>4.2. KPIs incluidos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KPI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Medida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Valor global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Tiempo medio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[Tiempo Medio Ruta (min)]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115 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Desnivel positivo medio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[Desnivel Positivo Medio (m)]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104 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Rutas fáciles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[% Rutas Fáciles]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30,0 %</w:t>
            </w:r>
          </w:p>
        </w:tc>
      </w:tr>
    </w:tbl>
    <w:p>
      <w:pPr>
        <w:pStyle w:val="Heading2"/>
      </w:pPr>
      <w:r>
        <w:t>4.3. Visuales analíticos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Visual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Campos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Finalidad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Distribución de dificultad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DificultadOficial + [Total Rutas]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Comparar Fácil, Media y Difícil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Distribución de esfuerzo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NivelEsfuerzoCalculado + [Total Rutas]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Comparar Bajo, Medio y Alto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Matriz comparativa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DificultadOficial × NivelEsfuerzoCalculado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Detectar coincidencias y discrepancias</w:t>
            </w:r>
          </w:p>
        </w:tc>
      </w:tr>
    </w:tbl>
    <w:p>
      <w:pPr>
        <w:pStyle w:val="Heading2"/>
      </w:pPr>
      <w:r>
        <w:t>4.4. Clasificación analítica del esfuerzo</w:t>
      </w:r>
    </w:p>
    <w:p>
      <w:pPr>
        <w:pStyle w:val="ListBullet"/>
      </w:pPr>
      <w:r>
        <w:t>Esfuerzo alto: 10 km o más, 120 minutos o más, o 300 m de desnivel positivo.</w:t>
      </w:r>
    </w:p>
    <w:p>
      <w:pPr>
        <w:pStyle w:val="ListBullet"/>
      </w:pPr>
      <w:r>
        <w:t>Esfuerzo medio: 5 km o más, 60 minutos o más, o 150 m de desnivel positivo.</w:t>
      </w:r>
    </w:p>
    <w:p>
      <w:pPr>
        <w:pStyle w:val="ListBullet"/>
      </w:pPr>
      <w:r>
        <w:t>Esfuerzo bajo: no alcanza ninguno de los umbrales anteriores.</w:t>
      </w:r>
    </w:p>
    <w:p>
      <w:r>
        <w:t>La clasificación es una construcción analítica y no sustituye la dificultad oficial ni representa una recomendación médica.</w:t>
      </w:r>
    </w:p>
    <w:p>
      <w:pPr>
        <w:pStyle w:val="Heading2"/>
      </w:pPr>
      <w:r>
        <w:t>4.5. Principales conclusiones</w:t>
      </w:r>
    </w:p>
    <w:p>
      <w:pPr>
        <w:pStyle w:val="ListBullet"/>
      </w:pPr>
      <w:r>
        <w:t>La dificultad media concentra 89 rutas, equivalentes al 55,6 % del total.</w:t>
      </w:r>
    </w:p>
    <w:p>
      <w:pPr>
        <w:pStyle w:val="ListBullet"/>
      </w:pPr>
      <w:r>
        <w:t>El esfuerzo calculado alto representa 65 rutas, un 40,6 %.</w:t>
      </w:r>
    </w:p>
    <w:p>
      <w:pPr>
        <w:pStyle w:val="ListBullet"/>
      </w:pPr>
      <w:r>
        <w:t>Existen rutas oficiales fáciles o medias que presentan esfuerzo calculado alto.</w:t>
      </w:r>
    </w:p>
    <w:p>
      <w:pPr>
        <w:pStyle w:val="ListBullet"/>
      </w:pPr>
      <w:r>
        <w:t>La matriz permite localizar las combinaciones que requieren una lectura más detallada.</w:t>
      </w:r>
    </w:p>
    <w:p>
      <w:pPr>
        <w:pStyle w:val="Heading2"/>
      </w:pPr>
      <w:r>
        <w:t>4.6. Decisiones de diseño</w:t>
      </w:r>
    </w:p>
    <w:p>
      <w:pPr>
        <w:pStyle w:val="ListBullet"/>
      </w:pPr>
      <w:r>
        <w:t>Se utilizaron gráficos circulares para introducir variedad visual frente a las páginas de rankings.</w:t>
      </w:r>
    </w:p>
    <w:p>
      <w:pPr>
        <w:pStyle w:val="ListBullet"/>
      </w:pPr>
      <w:r>
        <w:t>La matriz conserva formato condicional para destacar concentraciones.</w:t>
      </w:r>
    </w:p>
    <w:p>
      <w:pPr>
        <w:pStyle w:val="ListBullet"/>
      </w:pPr>
      <w:r>
        <w:t>Los colores verde, ámbar y rojo mantienen un significado semántico consistente.</w:t>
      </w:r>
    </w:p>
    <w:p>
      <w:pPr>
        <w:pStyle w:val="ListBullet"/>
      </w:pPr>
      <w:r>
        <w:t>Los títulos expresan conclusiones en lugar de repetir nombres de campos.</w:t>
      </w:r>
    </w:p>
    <w:p>
      <w:r>
        <w:br w:type="page"/>
      </w:r>
    </w:p>
    <w:p>
      <w:pPr>
        <w:pStyle w:val="Heading1"/>
      </w:pPr>
      <w:r>
        <w:t>5. Página 04 — Explorador de rutas</w:t>
      </w:r>
    </w:p>
    <w:p>
      <w:r>
        <w:t>Esta página transforma el dashboard en una herramienta de consulta. Permite filtrar el catálogo, seleccionar una ruta y consultar su información principal en un panel dinámico.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35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fe46c3-a457-4ea0-8c45-3d42b910ec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3"/>
          <w:sz w:val="18"/>
        </w:rPr>
        <w:t>Figura 4. Página 04 — Explorador de rutas</w:t>
      </w:r>
    </w:p>
    <w:p>
      <w:pPr>
        <w:pStyle w:val="Heading2"/>
      </w:pPr>
      <w:r>
        <w:t>5.1. Objetivo de la página</w:t>
      </w:r>
    </w:p>
    <w:p>
      <w:r>
        <w:t>Facilitar la búsqueda de recorridos según territorio, dificultad y tipo de ruta, proporcionando una ficha de detalle que responde a la selección realizada por el usuario.</w:t>
      </w:r>
    </w:p>
    <w:p>
      <w:pPr>
        <w:pStyle w:val="Heading2"/>
      </w:pPr>
      <w:r>
        <w:t>5.2. Segmentadores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Segmentador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Comarca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NombreComarca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Limitar el catálogo territorialmente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Municipio de inicio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NombreMunicipioInicio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Buscar rutas desde un municipio concreto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Dificultad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DificultadOficial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Seleccionar el nivel oficial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Tipo de ruta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DescripcionTipoRutaES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Diferenciar rutas circulares y lineales</w:t>
            </w:r>
          </w:p>
        </w:tc>
      </w:tr>
    </w:tbl>
    <w:p>
      <w:pPr>
        <w:pStyle w:val="Heading2"/>
      </w:pPr>
      <w:r>
        <w:t>5.3. Tabla principal</w:t>
      </w:r>
    </w:p>
    <w:p>
      <w:r>
        <w:t>La tabla presenta nombre de ruta, municipios de inicio y fin, tipo, distancia, tiempo, dificultad, accesibilidad y seguridad. La selección de una fila filtra el panel HTML de detalle.</w:t>
      </w:r>
    </w:p>
    <w:p>
      <w:pPr>
        <w:pStyle w:val="Heading2"/>
      </w:pPr>
      <w:r>
        <w:t>5.4. Panel dinámico HTML</w:t>
      </w:r>
    </w:p>
    <w:p>
      <w:pPr>
        <w:pStyle w:val="ListBullet"/>
      </w:pPr>
      <w:r>
        <w:t>Nombre de la ruta seleccionada.</w:t>
      </w:r>
    </w:p>
    <w:p>
      <w:pPr>
        <w:pStyle w:val="ListBullet"/>
      </w:pPr>
      <w:r>
        <w:t>Municipio de inicio y municipio de fin.</w:t>
      </w:r>
    </w:p>
    <w:p>
      <w:pPr>
        <w:pStyle w:val="ListBullet"/>
      </w:pPr>
      <w:r>
        <w:t>Distancia total y tiempo estimado.</w:t>
      </w:r>
    </w:p>
    <w:p>
      <w:pPr>
        <w:pStyle w:val="ListBullet"/>
      </w:pPr>
      <w:r>
        <w:t>Dificultad oficial.</w:t>
      </w:r>
    </w:p>
    <w:p>
      <w:pPr>
        <w:pStyle w:val="ListBullet"/>
      </w:pPr>
      <w:r>
        <w:t>Nivel de accesibilidad y seguridad.</w:t>
      </w:r>
    </w:p>
    <w:p>
      <w:pPr>
        <w:pStyle w:val="ListBullet"/>
      </w:pPr>
      <w:r>
        <w:t>Disponibilidad de transporte público.</w:t>
      </w:r>
    </w:p>
    <w:p>
      <w:r>
        <w:t>Las medidas auxiliares utilizan SELECTEDVALUE para devolver un único valor cuando se selecciona una ruta y un texto neutro cuando no existe una selección.</w:t>
      </w:r>
    </w:p>
    <w:p>
      <w:pPr>
        <w:pStyle w:val="Heading2"/>
      </w:pPr>
      <w:r>
        <w:t>5.5. Interacción</w:t>
      </w:r>
    </w:p>
    <w:p>
      <w:pPr>
        <w:pStyle w:val="ListBullet"/>
      </w:pPr>
      <w:r>
        <w:t>Los cuatro segmentadores filtran la tabla de resultados.</w:t>
      </w:r>
    </w:p>
    <w:p>
      <w:pPr>
        <w:pStyle w:val="ListBullet"/>
      </w:pPr>
      <w:r>
        <w:t>La tabla filtra el panel HTML mediante la selección de una fila.</w:t>
      </w:r>
    </w:p>
    <w:p>
      <w:pPr>
        <w:pStyle w:val="ListBullet"/>
      </w:pPr>
      <w:r>
        <w:t>La página mantiene una estructura funcional: filtros, resultados y detalle.</w:t>
      </w:r>
    </w:p>
    <w:p>
      <w:pPr>
        <w:pStyle w:val="ListBullet"/>
      </w:pPr>
      <w:r>
        <w:t>No se añadieron enlaces dentro del HTML para evitar limitaciones de navegación del visual personalizado.</w:t>
      </w:r>
    </w:p>
    <w:p>
      <w:r>
        <w:br w:type="page"/>
      </w:r>
    </w:p>
    <w:p>
      <w:pPr>
        <w:pStyle w:val="Heading1"/>
      </w:pPr>
      <w:r>
        <w:t>6. Página 05 — Cobertura territorial</w:t>
      </w:r>
    </w:p>
    <w:p>
      <w:r>
        <w:t>La quinta página analiza la distribución territorial de la oferta mediante indicadores de cobertura, rankings municipales y un mapa con la dificultad oficial.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26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0b6b3f-32cc-42c4-ba9a-222c3a2079c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6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3"/>
          <w:sz w:val="18"/>
        </w:rPr>
        <w:t>Figura 5. Página 05 — Cobertura territorial</w:t>
      </w:r>
    </w:p>
    <w:p>
      <w:pPr>
        <w:pStyle w:val="Heading2"/>
      </w:pPr>
      <w:r>
        <w:t>6.1. Objetivo de la página</w:t>
      </w:r>
    </w:p>
    <w:p>
      <w:r>
        <w:t>Identificar qué municipios y comarcas concentran más rutas, comparar número de recorridos y kilómetros acumulados, y visualizar la distribución geográfica del catálogo.</w:t>
      </w:r>
    </w:p>
    <w:p>
      <w:pPr>
        <w:pStyle w:val="Heading2"/>
      </w:pPr>
      <w:r>
        <w:t>6.2. KPIs territoriales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KPI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Medida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Valor global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Municipios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[Municipios con Rutas]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92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Comarcas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[Comarcas con Rutas]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Conexión municipal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[% Rutas entre Municipios]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26,3 %</w:t>
            </w:r>
          </w:p>
        </w:tc>
      </w:tr>
    </w:tbl>
    <w:p>
      <w:pPr>
        <w:pStyle w:val="Heading2"/>
      </w:pPr>
      <w:r>
        <w:t>6.3. Rankings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Visual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Lectura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Municipios con mayor oferta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[Total Rutas]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Municipios con más recorridos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Kilómetros por municipio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[Kilómetros Totales]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Municipios con mayor distancia acumulada</w:t>
            </w:r>
          </w:p>
        </w:tc>
      </w:tr>
    </w:tbl>
    <w:p>
      <w:r>
        <w:t>Los rankings se limitaron mediante filtros Top N. Cuando existen empates en el último puesto, Power BI puede mostrar más elementos; por ello se emplean títulos que no prometen un número exacto.</w:t>
      </w:r>
    </w:p>
    <w:p>
      <w:pPr>
        <w:pStyle w:val="Heading2"/>
      </w:pPr>
      <w:r>
        <w:t>6.4. Mapa territorial</w:t>
      </w:r>
    </w:p>
    <w:p>
      <w:pPr>
        <w:pStyle w:val="ListBullet"/>
      </w:pPr>
      <w:r>
        <w:t>Latitud: FactRoutes[latitude].</w:t>
      </w:r>
    </w:p>
    <w:p>
      <w:pPr>
        <w:pStyle w:val="ListBullet"/>
      </w:pPr>
      <w:r>
        <w:t>Longitud: FactRoutes[longitude].</w:t>
      </w:r>
    </w:p>
    <w:p>
      <w:pPr>
        <w:pStyle w:val="ListBullet"/>
      </w:pPr>
      <w:r>
        <w:t>Leyenda: DificultadOficial.</w:t>
      </w:r>
    </w:p>
    <w:p>
      <w:pPr>
        <w:pStyle w:val="ListBullet"/>
      </w:pPr>
      <w:r>
        <w:t>Colores: verde para Fácil, ámbar para Media y rojo para Difícil.</w:t>
      </w:r>
    </w:p>
    <w:p>
      <w:pPr>
        <w:pStyle w:val="ListBullet"/>
      </w:pPr>
      <w:r>
        <w:t>Tooltips: ruta, municipio, comarca, distancia, tiempo, accesibilidad y seguridad.</w:t>
      </w:r>
    </w:p>
    <w:p>
      <w:r>
        <w:t>Cada punto representa una ruta. Se evita usar el tamaño de burbuja como segunda métrica para mantener la lectura geográfica clara.</w:t>
      </w:r>
    </w:p>
    <w:p>
      <w:pPr>
        <w:pStyle w:val="Heading2"/>
      </w:pPr>
      <w:r>
        <w:t>6.5. Principales conclusiones</w:t>
      </w:r>
    </w:p>
    <w:p>
      <w:pPr>
        <w:pStyle w:val="ListBullet"/>
      </w:pPr>
      <w:r>
        <w:t>La oferta se distribuye de forma desigual entre municipios.</w:t>
      </w:r>
    </w:p>
    <w:p>
      <w:pPr>
        <w:pStyle w:val="ListBullet"/>
      </w:pPr>
      <w:r>
        <w:t>Los municipios con más rutas no siempre concentran más kilómetros.</w:t>
      </w:r>
    </w:p>
    <w:p>
      <w:pPr>
        <w:pStyle w:val="ListBullet"/>
      </w:pPr>
      <w:r>
        <w:t>El mapa permite detectar concentración espacial y mezcla de niveles de dificultad.</w:t>
      </w:r>
    </w:p>
    <w:p>
      <w:pPr>
        <w:pStyle w:val="ListBullet"/>
      </w:pPr>
      <w:r>
        <w:t>El 26,3 % de las rutas conecta municipios distintos.</w:t>
      </w:r>
    </w:p>
    <w:p>
      <w:r>
        <w:br w:type="page"/>
      </w:r>
    </w:p>
    <w:p>
      <w:pPr>
        <w:pStyle w:val="Heading1"/>
      </w:pPr>
      <w:r>
        <w:t>7. Página 06 — Metodología y calidad</w:t>
      </w:r>
    </w:p>
    <w:p>
      <w:r>
        <w:t>La última página documenta el origen, el proceso de transformación, la metodología analítica y las limitaciones del proyecto. Su función es aportar transparencia y facilitar el mantenimiento.</w:t>
      </w:r>
    </w:p>
    <w:p>
      <w:pPr>
        <w:pStyle w:val="Heading2"/>
      </w:pPr>
      <w:r>
        <w:t>7.1. Fuente y alcance</w:t>
      </w:r>
    </w:p>
    <w:p>
      <w:pPr>
        <w:pStyle w:val="ListBullet"/>
      </w:pPr>
      <w:r>
        <w:t>Datos abiertos de la Diputación Foral de Bizkaia.</w:t>
      </w:r>
    </w:p>
    <w:p>
      <w:pPr>
        <w:pStyle w:val="ListBullet"/>
      </w:pPr>
      <w:r>
        <w:t>160 rutas con atributos geográficos, territoriales y funcionales.</w:t>
      </w:r>
    </w:p>
    <w:p>
      <w:pPr>
        <w:pStyle w:val="ListBullet"/>
      </w:pPr>
      <w:r>
        <w:t>El análisis describe la oferta disponible.</w:t>
      </w:r>
    </w:p>
    <w:p>
      <w:pPr>
        <w:pStyle w:val="ListBullet"/>
      </w:pPr>
      <w:r>
        <w:t>No mide afluencia, uso real, mantenimiento en tiempo real ni impacto sanitario.</w:t>
      </w:r>
    </w:p>
    <w:p>
      <w:pPr>
        <w:pStyle w:val="Heading2"/>
      </w:pPr>
      <w:r>
        <w:t>7.2. Transformaciones documentadas</w:t>
      </w:r>
    </w:p>
    <w:p>
      <w:pPr>
        <w:pStyle w:val="ListBullet"/>
      </w:pPr>
      <w:r>
        <w:t>Corrección de tipos de datos y configuración regional.</w:t>
      </w:r>
    </w:p>
    <w:p>
      <w:pPr>
        <w:pStyle w:val="ListBullet"/>
      </w:pPr>
      <w:r>
        <w:t>Limpieza de códigos municipales.</w:t>
      </w:r>
    </w:p>
    <w:p>
      <w:pPr>
        <w:pStyle w:val="ListBullet"/>
      </w:pPr>
      <w:r>
        <w:t>Conversión de tiempos a minutos totales.</w:t>
      </w:r>
    </w:p>
    <w:p>
      <w:pPr>
        <w:pStyle w:val="ListBullet"/>
      </w:pPr>
      <w:r>
        <w:t>Cálculo del desnivel positivo total.</w:t>
      </w:r>
    </w:p>
    <w:p>
      <w:pPr>
        <w:pStyle w:val="ListBullet"/>
      </w:pPr>
      <w:r>
        <w:t>Segmentación por distancia y duración.</w:t>
      </w:r>
    </w:p>
    <w:p>
      <w:pPr>
        <w:pStyle w:val="ListBullet"/>
      </w:pPr>
      <w:r>
        <w:t>Clasificación de conexión municipal.</w:t>
      </w:r>
    </w:p>
    <w:p>
      <w:pPr>
        <w:pStyle w:val="ListBullet"/>
      </w:pPr>
      <w:r>
        <w:t>Normalización de dificultad oficial.</w:t>
      </w:r>
    </w:p>
    <w:p>
      <w:pPr>
        <w:pStyle w:val="ListBullet"/>
      </w:pPr>
      <w:r>
        <w:t>Creación del nivel de esfuerzo calculado.</w:t>
      </w:r>
    </w:p>
    <w:p>
      <w:pPr>
        <w:pStyle w:val="Heading2"/>
      </w:pPr>
      <w:r>
        <w:t>7.3. Limitaciones</w:t>
      </w:r>
    </w:p>
    <w:p>
      <w:pPr>
        <w:pStyle w:val="ListBullet"/>
      </w:pPr>
      <w:r>
        <w:t>La accesibilidad declarada no equivale necesariamente a accesibilidad universal certificada.</w:t>
      </w:r>
    </w:p>
    <w:p>
      <w:pPr>
        <w:pStyle w:val="ListBullet"/>
      </w:pPr>
      <w:r>
        <w:t>La clasificación de esfuerzo es analítica y depende de umbrales definidos en el proyecto.</w:t>
      </w:r>
    </w:p>
    <w:p>
      <w:pPr>
        <w:pStyle w:val="ListBullet"/>
      </w:pPr>
      <w:r>
        <w:t>La seguridad y dificultad proceden de la fuente disponible.</w:t>
      </w:r>
    </w:p>
    <w:p>
      <w:pPr>
        <w:pStyle w:val="ListBullet"/>
      </w:pPr>
      <w:r>
        <w:t>Los recorridos pueden sufrir cambios no reflejados en tiempo real.</w:t>
      </w:r>
    </w:p>
    <w:p>
      <w:pPr>
        <w:pStyle w:val="ListBullet"/>
      </w:pPr>
      <w:r>
        <w:t>Los valores nulos se conservaron cuando no existía información fiable.</w:t>
      </w:r>
    </w:p>
    <w:p>
      <w:r>
        <w:t>Las conclusiones deben interpretarse como apoyo analítico y no como certificación técnica, sanitaria o de seguridad.</w:t>
      </w:r>
    </w:p>
    <w:p>
      <w:pPr>
        <w:pStyle w:val="Heading2"/>
      </w:pPr>
      <w:r>
        <w:t>7.4. Decisión de diseño</w:t>
      </w:r>
    </w:p>
    <w:p>
      <w:r>
        <w:t>La página se construyó con bloques HTML Content independientes. Esta solución permite organizar información metodológica sin recurrir a gráficos y mantiene la identidad visual del informe.</w:t>
      </w:r>
    </w:p>
    <w:p>
      <w:r>
        <w:br w:type="page"/>
      </w:r>
    </w:p>
    <w:p>
      <w:pPr>
        <w:pStyle w:val="Heading1"/>
      </w:pPr>
      <w:r>
        <w:t>8. Estado final del dashboard</w:t>
      </w:r>
    </w:p>
    <w:p>
      <w:r>
        <w:t>El informe queda compuesto por seis páginas complementarias que cubren visión ejecutiva, calidad funcional, esfuerzo, exploración, cobertura territorial y metodología.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Página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408"/>
            <w:shd w:fill="17324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Visuales principales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01_Resumen_General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Visión ejecutiva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KPIs y ranking por comarca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02_Accesibilidad_Seguridad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Calidad funcional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KPIs, columnas y matriz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03_Esfuerzo_Dificultad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Exigencia de rutas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KPIs, gráficos circulares y matriz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04_Explorador_Rutas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Consulta interactiva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Segmentadores, tabla y panel HTML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05_Cobertura_Territorial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Análisis geográfico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KPIs, rankings y mapa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06_Metodologia_Calidad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Transparencia metodológica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Bloques HTML</w:t>
            </w:r>
          </w:p>
        </w:tc>
      </w:tr>
    </w:tbl>
    <w:p>
      <w:pPr>
        <w:pStyle w:val="Heading2"/>
      </w:pPr>
      <w:r>
        <w:t>8.1. Variedad visual</w:t>
      </w:r>
    </w:p>
    <w:p>
      <w:pPr>
        <w:pStyle w:val="ListBullet"/>
      </w:pPr>
      <w:r>
        <w:t>Tarjetas KPI diseñadas con HTML Content.</w:t>
      </w:r>
    </w:p>
    <w:p>
      <w:pPr>
        <w:pStyle w:val="ListBullet"/>
      </w:pPr>
      <w:r>
        <w:t>Barras horizontales para rankings con nombres largos.</w:t>
      </w:r>
    </w:p>
    <w:p>
      <w:pPr>
        <w:pStyle w:val="ListBullet"/>
      </w:pPr>
      <w:r>
        <w:t>Columnas verticales para distribuciones cualitativas.</w:t>
      </w:r>
    </w:p>
    <w:p>
      <w:pPr>
        <w:pStyle w:val="ListBullet"/>
      </w:pPr>
      <w:r>
        <w:t>Gráficos circulares para composición de dificultad y esfuerzo.</w:t>
      </w:r>
    </w:p>
    <w:p>
      <w:pPr>
        <w:pStyle w:val="ListBullet"/>
      </w:pPr>
      <w:r>
        <w:t>Matrices con formato condicional.</w:t>
      </w:r>
    </w:p>
    <w:p>
      <w:pPr>
        <w:pStyle w:val="ListBullet"/>
      </w:pPr>
      <w:r>
        <w:t>Mapa con leyenda semántica.</w:t>
      </w:r>
    </w:p>
    <w:p>
      <w:pPr>
        <w:pStyle w:val="ListBullet"/>
      </w:pPr>
      <w:r>
        <w:t>Tabla de exploración y panel dinámico.</w:t>
      </w:r>
    </w:p>
    <w:p>
      <w:pPr>
        <w:pStyle w:val="ListBullet"/>
      </w:pPr>
      <w:r>
        <w:t>Bloques metodológicos HTML.</w:t>
      </w:r>
    </w:p>
    <w:p>
      <w:pPr>
        <w:pStyle w:val="Heading2"/>
      </w:pPr>
      <w:r>
        <w:t>8.2. Próximos pasos de publicación</w:t>
      </w:r>
    </w:p>
    <w:p>
      <w:pPr>
        <w:pStyle w:val="ListBullet"/>
      </w:pPr>
      <w:r>
        <w:t>Crear navegación entre páginas mediante botones o navegador de páginas.</w:t>
      </w:r>
    </w:p>
    <w:p>
      <w:pPr>
        <w:pStyle w:val="ListBullet"/>
      </w:pPr>
      <w:r>
        <w:t>Revisar interacciones y filtros cruzados.</w:t>
      </w:r>
    </w:p>
    <w:p>
      <w:pPr>
        <w:pStyle w:val="ListBullet"/>
      </w:pPr>
      <w:r>
        <w:t>Publicar en Power BI Service para conservar la experiencia interactiva.</w:t>
      </w:r>
    </w:p>
    <w:p>
      <w:pPr>
        <w:pStyle w:val="ListBullet"/>
      </w:pPr>
      <w:r>
        <w:t>Preparar capturas, PDF y repositorio para LinkedIn y portfolio.</w:t>
      </w:r>
    </w:p>
    <w:p>
      <w:pPr>
        <w:pStyle w:val="ListBullet"/>
      </w:pPr>
      <w:r>
        <w:t>Incluir fuente, metodología, medidas DAX y limitaciones en GitHub.</w:t>
      </w:r>
    </w:p>
    <w:p>
      <w:pPr>
        <w:jc w:val="center"/>
      </w:pPr>
      <w:r>
        <w:rPr>
          <w:i/>
          <w:color w:val="5F6B73"/>
          <w:sz w:val="18"/>
        </w:rPr>
        <w:t>Documento actualizado con las páginas 01 a 06 del dashboard.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