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However, this dependence on visual identification or observations is </w:t>
      </w:r>
      <w:r>
        <w:rPr>
          <w:rFonts w:ascii="Times New Roman" w:hAnsi="Times New Roman" w:cs="Times New Roman"/>
          <w:bCs/>
        </w:rPr>
        <w:t>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27836F2E"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w:t>
      </w:r>
      <w:r w:rsidR="00AA5F24">
        <w:rPr>
          <w:rFonts w:ascii="Times New Roman" w:hAnsi="Times New Roman" w:cs="Times New Roman"/>
          <w:bCs/>
        </w:rPr>
        <w:t xml:space="preserve">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w:t>
      </w:r>
      <w:r w:rsidR="00AA5F24">
        <w:rPr>
          <w:rFonts w:ascii="Times New Roman" w:hAnsi="Times New Roman" w:cs="Times New Roman"/>
          <w:bCs/>
        </w:rPr>
        <w:t xml:space="preserve">),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w:t>
      </w:r>
      <w:r w:rsidR="00AA5F24">
        <w:rPr>
          <w:rFonts w:ascii="Times New Roman" w:hAnsi="Times New Roman" w:cs="Times New Roman"/>
          <w:bCs/>
        </w:rPr>
        <w:t xml:space="preser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the field of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w:t>
      </w:r>
      <w:r w:rsidR="00AA5F24">
        <w:rPr>
          <w:rFonts w:ascii="Times New Roman" w:hAnsi="Times New Roman" w:cs="Times New Roman"/>
          <w:bCs/>
        </w:rPr>
        <w:lastRenderedPageBreak/>
        <w:t xml:space="preserve">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w:t>
      </w:r>
      <w:r w:rsidR="00C936B7">
        <w:rPr>
          <w:rFonts w:ascii="Times New Roman" w:hAnsi="Times New Roman" w:cs="Times New Roman"/>
          <w:bCs/>
        </w:rPr>
        <w:t xml:space="preserve"> </w:t>
      </w:r>
      <w:r w:rsidR="00C936B7">
        <w:rPr>
          <w:rFonts w:ascii="Times New Roman" w:hAnsi="Times New Roman" w:cs="Times New Roman"/>
          <w:bCs/>
        </w:rPr>
        <w:t>due to its relative infancy</w:t>
      </w:r>
      <w:r w:rsidR="00AA5F24">
        <w:rPr>
          <w:rFonts w:ascii="Times New Roman" w:hAnsi="Times New Roman" w:cs="Times New Roman"/>
          <w:bCs/>
        </w:rPr>
        <w:t>.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15A6A978" w:rsidR="00DD1D92" w:rsidRDefault="00C936B7" w:rsidP="0051400F">
      <w:pPr>
        <w:rPr>
          <w:rFonts w:ascii="Times New Roman" w:hAnsi="Times New Roman" w:cs="Times New Roman"/>
          <w:bCs/>
        </w:rPr>
      </w:pPr>
      <w:r>
        <w:rPr>
          <w:rFonts w:ascii="Times New Roman" w:hAnsi="Times New Roman" w:cs="Times New Roman"/>
          <w:bCs/>
        </w:rPr>
        <w:t xml:space="preserve">In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w:t>
      </w:r>
      <w:r>
        <w:rPr>
          <w:rFonts w:ascii="Times New Roman" w:hAnsi="Times New Roman" w:cs="Times New Roman"/>
          <w:bCs/>
        </w:rPr>
        <w:t xml:space="preserve">(Strickler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high cycling</w:t>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 xml:space="preserve">In mesocosms,  a common closed environment used to study the effects of consumptive interactions </w:t>
      </w:r>
      <w:r w:rsidR="00FA7FED">
        <w:rPr>
          <w:rFonts w:ascii="Times New Roman" w:hAnsi="Times New Roman" w:cs="Times New Roman"/>
          <w:bCs/>
        </w:rPr>
        <w:t xml:space="preserve">(e.g. built mesocosms: Gao 2017, Rudolf et al. 2014; ponds, lakes, and natural microcosms: </w:t>
      </w:r>
      <w:proofErr w:type="spellStart"/>
      <w:r w:rsidR="00FA7FED">
        <w:rPr>
          <w:rFonts w:ascii="Times New Roman" w:hAnsi="Times New Roman" w:cs="Times New Roman"/>
          <w:bCs/>
        </w:rPr>
        <w:t>Srivistava</w:t>
      </w:r>
      <w:proofErr w:type="spellEnd"/>
      <w:r w:rsidR="00FA7FED">
        <w:rPr>
          <w:rFonts w:ascii="Times New Roman" w:hAnsi="Times New Roman" w:cs="Times New Roman"/>
          <w:bCs/>
        </w:rPr>
        <w:t xml:space="preserve"> et al. 2004, De </w:t>
      </w:r>
      <w:proofErr w:type="spellStart"/>
      <w:r w:rsidR="00FA7FED">
        <w:rPr>
          <w:rFonts w:ascii="Times New Roman" w:hAnsi="Times New Roman" w:cs="Times New Roman"/>
          <w:bCs/>
        </w:rPr>
        <w:t>Meester</w:t>
      </w:r>
      <w:proofErr w:type="spellEnd"/>
      <w:r w:rsidR="00FA7FED">
        <w:rPr>
          <w:rFonts w:ascii="Times New Roman" w:hAnsi="Times New Roman" w:cs="Times New Roman"/>
          <w:bCs/>
        </w:rPr>
        <w:t xml:space="preserve"> et al. 2005</w:t>
      </w:r>
      <w:r w:rsidR="00FA7FED">
        <w:rPr>
          <w:rFonts w:ascii="Times New Roman" w:hAnsi="Times New Roman" w:cs="Times New Roman"/>
          <w:bCs/>
        </w:rPr>
        <w:t xml:space="preserve">), the DNA that persists in the environment could be that of potential diet items which has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rate of consumption versus diversity of interactions)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small body size or time since consumption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422AF4C3"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w:t>
      </w:r>
      <w:r w:rsidR="009123B2">
        <w:rPr>
          <w:rFonts w:ascii="Times New Roman" w:hAnsi="Times New Roman" w:cs="Times New Roman"/>
          <w:bCs/>
        </w:rPr>
        <w:t xml:space="preserve">In each of these environments, we expected that the effects of surface contamination (and thus, surface sterilization) would depend on environmental context and the diet measure in question (e.g. consumption versus diversity). </w:t>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w:t>
      </w:r>
      <w:r w:rsidR="00D91AC6">
        <w:rPr>
          <w:rFonts w:ascii="Times New Roman" w:hAnsi="Times New Roman" w:cs="Times New Roman"/>
          <w:bCs/>
        </w:rPr>
        <w:lastRenderedPageBreak/>
        <w:t xml:space="preserve">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 field environment where consumers have fed on available prey and come into contact with natural environmental surfaces</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Our results suggest minimal to no significant impacts of surface contamination on diet detection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 xml:space="preserve">of surface contamination in any study or environment prior to broad-scale diet DNA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lastRenderedPageBreak/>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0"/>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0"/>
      <w:r w:rsidR="00DB200E">
        <w:rPr>
          <w:rStyle w:val="CommentReference"/>
        </w:rPr>
        <w:commentReference w:id="0"/>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lastRenderedPageBreak/>
        <w:t>We amplified the COI gene in our samples with an initial PCR with a 25</w:t>
      </w:r>
      <w:r w:rsidR="00E4430E" w:rsidRPr="00E4430E">
        <w:rPr>
          <w:rFonts w:ascii="Symbol" w:hAnsi="Symbol" w:cs="Times New Roman"/>
          <w:bCs/>
        </w:rPr>
        <w:t></w:t>
      </w:r>
      <w:r>
        <w:rPr>
          <w:rFonts w:ascii="Times New Roman" w:hAnsi="Times New Roman" w:cs="Times New Roman"/>
          <w:bCs/>
        </w:rPr>
        <w:t xml:space="preserve">L </w:t>
      </w:r>
      <w:commentRangeStart w:id="1"/>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1"/>
      <w:r>
        <w:rPr>
          <w:rStyle w:val="CommentReference"/>
        </w:rPr>
        <w:commentReference w:id="1"/>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lastRenderedPageBreak/>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2"/>
      <w:r w:rsidR="00ED4C9B">
        <w:rPr>
          <w:rFonts w:ascii="Times New Roman" w:hAnsi="Times New Roman" w:cs="Times New Roman"/>
          <w:bCs/>
        </w:rPr>
        <w:t xml:space="preserve">analyses </w:t>
      </w:r>
      <w:commentRangeEnd w:id="2"/>
      <w:r w:rsidR="00E10921">
        <w:rPr>
          <w:rStyle w:val="CommentReference"/>
        </w:rPr>
        <w:commentReference w:id="2"/>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commentRangeStart w:id="3"/>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3"/>
      <w:r w:rsidR="001A2C75">
        <w:rPr>
          <w:rStyle w:val="CommentReference"/>
        </w:rPr>
        <w:commentReference w:id="3"/>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w:t>
      </w:r>
      <w:r w:rsidR="00977993">
        <w:rPr>
          <w:rFonts w:ascii="Times New Roman" w:hAnsi="Times New Roman" w:cs="Times New Roman"/>
          <w:bCs/>
        </w:rPr>
        <w:lastRenderedPageBreak/>
        <w:t>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w:t>
      </w:r>
      <w:r w:rsidR="003E2216">
        <w:rPr>
          <w:rFonts w:ascii="Times New Roman" w:hAnsi="Times New Roman" w:cs="Times New Roman"/>
          <w:bCs/>
        </w:rPr>
        <w:lastRenderedPageBreak/>
        <w:t xml:space="preserve">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lastRenderedPageBreak/>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AADF7B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 a field 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74% of consumers with a fed diet item, 86% with natural-fed diet items).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3CE4515"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CITE</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w:t>
      </w:r>
      <w:r w:rsidR="00B97760">
        <w:rPr>
          <w:rFonts w:ascii="Times New Roman" w:hAnsi="Times New Roman" w:cs="Times New Roman"/>
          <w:bCs/>
        </w:rPr>
        <w:lastRenderedPageBreak/>
        <w:t>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consideration. </w:t>
      </w:r>
    </w:p>
    <w:p w14:paraId="154BA0E7" w14:textId="77777777" w:rsidR="005D74B6" w:rsidRDefault="005D74B6" w:rsidP="00B5655B">
      <w:pPr>
        <w:rPr>
          <w:rFonts w:ascii="Times New Roman" w:hAnsi="Times New Roman" w:cs="Times New Roman"/>
          <w:bCs/>
        </w:rPr>
      </w:pPr>
    </w:p>
    <w:p w14:paraId="2880664D" w14:textId="38C70EE6"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495900">
        <w:rPr>
          <w:rFonts w:ascii="Times New Roman" w:hAnsi="Times New Roman" w:cs="Times New Roman"/>
          <w:b/>
        </w:rPr>
        <w:t xml:space="preserve"> and maybe including measures of diet?</w:t>
      </w:r>
      <w:r w:rsidRPr="00A37150">
        <w:rPr>
          <w:rFonts w:ascii="Times New Roman" w:hAnsi="Times New Roman" w:cs="Times New Roman"/>
          <w:b/>
        </w:rPr>
        <w:t>]</w:t>
      </w:r>
    </w:p>
    <w:p w14:paraId="23CFF71A" w14:textId="0FA2D2B2" w:rsidR="00736FB5" w:rsidRPr="009A37DF"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 </w:t>
      </w:r>
    </w:p>
    <w:p w14:paraId="06ADF0B9" w14:textId="77777777" w:rsidR="00736FB5" w:rsidRDefault="00736FB5"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218F7B3C"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 xml:space="preserve">methods </w:t>
      </w:r>
      <w:r w:rsidR="00BA300F">
        <w:rPr>
          <w:rFonts w:ascii="Times New Roman" w:hAnsi="Times New Roman" w:cs="Times New Roman"/>
          <w:bCs/>
        </w:rPr>
        <w:lastRenderedPageBreak/>
        <w:t>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w:t>
      </w:r>
      <w:r>
        <w:rPr>
          <w:rFonts w:ascii="Times New Roman" w:hAnsi="Times New Roman" w:cs="Times New Roman"/>
          <w:bCs/>
        </w:rPr>
        <w:lastRenderedPageBreak/>
        <w:t>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4"/>
      <w:r>
        <w:rPr>
          <w:rFonts w:ascii="Times New Roman" w:hAnsi="Times New Roman" w:cs="Times New Roman"/>
          <w:b/>
        </w:rPr>
        <w:lastRenderedPageBreak/>
        <w:t>Figures</w:t>
      </w:r>
      <w:commentRangeEnd w:id="4"/>
      <w:r w:rsidR="00AB3807">
        <w:rPr>
          <w:rStyle w:val="CommentReference"/>
        </w:rPr>
        <w:commentReference w:id="4"/>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1"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2"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3" w:author="Ana Miller-Ter Kuile" w:date="2020-06-02T11:45:00Z" w:initials="AMK">
    <w:p w14:paraId="56F11311" w14:textId="183BAB56" w:rsidR="001A2C75" w:rsidRDefault="001A2C75">
      <w:pPr>
        <w:pStyle w:val="CommentText"/>
      </w:pPr>
      <w:r>
        <w:rPr>
          <w:rStyle w:val="CommentReference"/>
        </w:rPr>
        <w:annotationRef/>
      </w:r>
      <w:r>
        <w:t>E &amp;D these next three paragraphs well justified and explained?</w:t>
      </w:r>
    </w:p>
  </w:comment>
  <w:comment w:id="4"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99403" w15:done="0"/>
  <w15:commentEx w15:paraId="011FBC11" w15:done="0"/>
  <w15:commentEx w15:paraId="76B6F74F" w15:done="0"/>
  <w15:commentEx w15:paraId="56F11311"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548F" w16cex:dateUtc="2020-06-01T15:18:00Z"/>
  <w16cex:commentExtensible w16cex:durableId="2280BA3D" w16cex:dateUtc="2020-06-02T16:4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99403" w16cid:durableId="227F548F"/>
  <w16cid:commentId w16cid:paraId="011FBC11" w16cid:durableId="2253CE3F"/>
  <w16cid:commentId w16cid:paraId="76B6F74F" w16cid:durableId="22540DFE"/>
  <w16cid:commentId w16cid:paraId="56F11311" w16cid:durableId="2280BA3D"/>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297"/>
    <w:rsid w:val="00160B63"/>
    <w:rsid w:val="001658D1"/>
    <w:rsid w:val="00166764"/>
    <w:rsid w:val="00170EC9"/>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05B59"/>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86E2C"/>
    <w:rsid w:val="00391116"/>
    <w:rsid w:val="00393574"/>
    <w:rsid w:val="00396A7D"/>
    <w:rsid w:val="003A298D"/>
    <w:rsid w:val="003A480B"/>
    <w:rsid w:val="003A492F"/>
    <w:rsid w:val="003A5031"/>
    <w:rsid w:val="003A6E4E"/>
    <w:rsid w:val="003B43D9"/>
    <w:rsid w:val="003C2E5A"/>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41B60"/>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123B2"/>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321F"/>
    <w:rsid w:val="00A84C2D"/>
    <w:rsid w:val="00A85FA9"/>
    <w:rsid w:val="00A86D3C"/>
    <w:rsid w:val="00A90916"/>
    <w:rsid w:val="00A9096C"/>
    <w:rsid w:val="00A920FD"/>
    <w:rsid w:val="00A92B55"/>
    <w:rsid w:val="00A96A33"/>
    <w:rsid w:val="00AA0E5B"/>
    <w:rsid w:val="00AA256B"/>
    <w:rsid w:val="00AA3E54"/>
    <w:rsid w:val="00AA5F2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25</Pages>
  <Words>7435</Words>
  <Characters>42385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cp:revision>
  <dcterms:created xsi:type="dcterms:W3CDTF">2020-06-02T19:36:00Z</dcterms:created>
  <dcterms:modified xsi:type="dcterms:W3CDTF">2020-06-02T22:37:00Z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