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7D71E463" w14:textId="77777777" w:rsidR="007B1A15" w:rsidRDefault="00FA30E9" w:rsidP="00D45426">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w:t>
      </w:r>
      <w:commentRangeStart w:id="80"/>
      <w:commentRangeStart w:id="81"/>
      <w:r w:rsidR="000B7D9C" w:rsidRPr="00A9096C">
        <w:rPr>
          <w:rFonts w:ascii="Times New Roman" w:hAnsi="Times New Roman" w:cs="Times New Roman"/>
        </w:rPr>
        <w:lastRenderedPageBreak/>
        <w:t xml:space="preserve">highest </w:t>
      </w:r>
      <w:r w:rsidR="00425746" w:rsidRPr="00A9096C">
        <w:rPr>
          <w:rFonts w:ascii="Times New Roman" w:hAnsi="Times New Roman" w:cs="Times New Roman"/>
        </w:rPr>
        <w:t xml:space="preserve">matching taxonomic match </w:t>
      </w:r>
      <w:commentRangeEnd w:id="80"/>
      <w:r w:rsidR="00FD3158">
        <w:rPr>
          <w:rStyle w:val="CommentReference"/>
        </w:rPr>
        <w:commentReference w:id="80"/>
      </w:r>
      <w:commentRangeEnd w:id="81"/>
      <w:r w:rsidR="005C07D6">
        <w:rPr>
          <w:rStyle w:val="CommentReference"/>
        </w:rPr>
        <w:commentReference w:id="81"/>
      </w:r>
      <w:r w:rsidR="00425746" w:rsidRPr="00A9096C">
        <w:rPr>
          <w:rFonts w:ascii="Times New Roman" w:hAnsi="Times New Roman" w:cs="Times New Roman"/>
        </w:rPr>
        <w:t xml:space="preserve">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6806D95E" w14:textId="32017853"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2"/>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2"/>
      <w:r w:rsidR="00C56F0B">
        <w:rPr>
          <w:rStyle w:val="CommentReference"/>
        </w:rPr>
        <w:commentReference w:id="82"/>
      </w:r>
    </w:p>
    <w:p w14:paraId="23428DB6" w14:textId="1062B70E"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3"/>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3"/>
      <w:r w:rsidR="00E2377E">
        <w:rPr>
          <w:rStyle w:val="CommentReference"/>
        </w:rPr>
        <w:commentReference w:id="83"/>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4"/>
      <w:r w:rsidR="007E1512">
        <w:rPr>
          <w:rFonts w:ascii="Times New Roman" w:hAnsi="Times New Roman" w:cs="Times New Roman"/>
          <w:bCs/>
        </w:rPr>
        <w:t>which all consumers were observed to have killed, but not necessarily ingested</w:t>
      </w:r>
      <w:commentRangeEnd w:id="84"/>
      <w:r w:rsidR="00A95C0E">
        <w:rPr>
          <w:rStyle w:val="CommentReference"/>
        </w:rPr>
        <w:commentReference w:id="84"/>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5"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6"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7" w:author="Austen Apigo" w:date="2020-06-08T11:41:00Z">
        <w:r w:rsidR="00E2377E">
          <w:rPr>
            <w:rFonts w:ascii="Times New Roman" w:hAnsi="Times New Roman" w:cs="Times New Roman"/>
            <w:bCs/>
          </w:rPr>
          <w:t>S</w:t>
        </w:r>
      </w:ins>
      <w:del w:id="88"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9"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90"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91" w:author="Austen Apigo" w:date="2020-06-11T09:15:00Z">
        <w:r w:rsidR="00A95C0E">
          <w:rPr>
            <w:rFonts w:ascii="Times New Roman" w:hAnsi="Times New Roman" w:cs="Times New Roman"/>
            <w:bCs/>
          </w:rPr>
          <w:t xml:space="preserve"> </w:t>
        </w:r>
      </w:ins>
      <w:ins w:id="92"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3"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4"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5"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6"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7" w:author="Austen Apigo" w:date="2020-06-11T09:16:00Z">
        <w:r w:rsidR="00A95C0E">
          <w:rPr>
            <w:rFonts w:ascii="Times New Roman" w:hAnsi="Times New Roman" w:cs="Times New Roman"/>
            <w:bCs/>
          </w:rPr>
          <w:t xml:space="preserve"> reads per sample for the field consu</w:t>
        </w:r>
      </w:ins>
      <w:ins w:id="98" w:author="Austen Apigo" w:date="2020-06-11T09:17:00Z">
        <w:r w:rsidR="00A95C0E">
          <w:rPr>
            <w:rFonts w:ascii="Times New Roman" w:hAnsi="Times New Roman" w:cs="Times New Roman"/>
            <w:bCs/>
          </w:rPr>
          <w:t xml:space="preserve">mers. We rarefied these separately because </w:t>
        </w:r>
      </w:ins>
      <w:del w:id="99"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commentRangeStart w:id="100"/>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w:t>
      </w:r>
      <w:commentRangeEnd w:id="100"/>
      <w:r w:rsidR="003929EE">
        <w:rPr>
          <w:rStyle w:val="CommentReference"/>
        </w:rPr>
        <w:commentReference w:id="100"/>
      </w:r>
      <w:r w:rsidR="00F14F64">
        <w:rPr>
          <w:rFonts w:ascii="Times New Roman" w:hAnsi="Times New Roman" w:cs="Times New Roman"/>
          <w:bCs/>
        </w:rPr>
        <w:t xml:space="preserve">to the same species taxonomy, we concatenated all ASVs based on shared taxonomic assignment (i.e. multiple ASVs matched to </w:t>
      </w:r>
      <w:r w:rsidR="00040901">
        <w:rPr>
          <w:rFonts w:ascii="Times New Roman" w:hAnsi="Times New Roman" w:cs="Times New Roman"/>
          <w:bCs/>
          <w:i/>
          <w:iCs/>
        </w:rPr>
        <w:t xml:space="preserve">diet </w:t>
      </w:r>
      <w:commentRangeStart w:id="101"/>
      <w:r w:rsidR="00F14F64">
        <w:rPr>
          <w:rFonts w:ascii="Times New Roman" w:hAnsi="Times New Roman" w:cs="Times New Roman"/>
          <w:bCs/>
          <w:i/>
          <w:iCs/>
        </w:rPr>
        <w:t xml:space="preserve">species </w:t>
      </w:r>
      <w:commentRangeEnd w:id="101"/>
      <w:r w:rsidR="004F22FA">
        <w:rPr>
          <w:rStyle w:val="CommentReference"/>
        </w:rPr>
        <w:commentReference w:id="101"/>
      </w:r>
      <w:r w:rsidR="00F14F64">
        <w:rPr>
          <w:rFonts w:ascii="Times New Roman" w:hAnsi="Times New Roman" w:cs="Times New Roman"/>
          <w:bCs/>
          <w:i/>
          <w:iCs/>
        </w:rPr>
        <w:t xml:space="preserve">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69F1A5AE"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102"/>
      <w:r>
        <w:rPr>
          <w:rFonts w:ascii="Times New Roman" w:hAnsi="Times New Roman" w:cs="Times New Roman"/>
          <w:bCs/>
        </w:rPr>
        <w:t xml:space="preserve">artificial </w:t>
      </w:r>
      <w:commentRangeEnd w:id="102"/>
      <w:r w:rsidR="00681368">
        <w:rPr>
          <w:rStyle w:val="CommentReference"/>
        </w:rPr>
        <w:commentReference w:id="102"/>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ins w:id="103" w:author="Austen Apigo" w:date="2020-06-08T12:00:00Z">
        <w:r w:rsidR="00681368">
          <w:rPr>
            <w:rFonts w:ascii="Times New Roman" w:hAnsi="Times New Roman" w:cs="Times New Roman"/>
            <w:bCs/>
          </w:rPr>
          <w:t xml:space="preserve"> (n = </w:t>
        </w:r>
      </w:ins>
      <w:ins w:id="104" w:author="Austen Apigo" w:date="2020-06-11T09:24:00Z">
        <w:r w:rsidR="00A95C0E">
          <w:rPr>
            <w:rFonts w:ascii="Times New Roman" w:hAnsi="Times New Roman" w:cs="Times New Roman"/>
            <w:bCs/>
          </w:rPr>
          <w:t>X</w:t>
        </w:r>
      </w:ins>
      <w:ins w:id="105" w:author="Austen Apigo" w:date="2020-06-08T12:00:00Z">
        <w:r w:rsidR="00681368">
          <w:rPr>
            <w:rFonts w:ascii="Times New Roman" w:hAnsi="Times New Roman" w:cs="Times New Roman"/>
            <w:bCs/>
          </w:rPr>
          <w:t xml:space="preserve"> out of </w:t>
        </w:r>
      </w:ins>
      <w:ins w:id="106" w:author="Austen Apigo" w:date="2020-06-11T09:24:00Z">
        <w:r w:rsidR="00A95C0E">
          <w:rPr>
            <w:rFonts w:ascii="Times New Roman" w:hAnsi="Times New Roman" w:cs="Times New Roman"/>
            <w:bCs/>
          </w:rPr>
          <w:t>X</w:t>
        </w:r>
      </w:ins>
      <w:ins w:id="107"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w:t>
      </w:r>
      <w:r w:rsidR="00CF0533">
        <w:rPr>
          <w:rFonts w:ascii="Times New Roman" w:hAnsi="Times New Roman" w:cs="Times New Roman"/>
          <w:bCs/>
        </w:rPr>
        <w:lastRenderedPageBreak/>
        <w:t xml:space="preserve">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8"/>
      <w:commentRangeStart w:id="109"/>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8"/>
      <w:r w:rsidR="004F22FA">
        <w:rPr>
          <w:rStyle w:val="CommentReference"/>
        </w:rPr>
        <w:commentReference w:id="108"/>
      </w:r>
      <w:commentRangeEnd w:id="109"/>
      <w:r w:rsidR="00642396">
        <w:rPr>
          <w:rStyle w:val="CommentReference"/>
        </w:rPr>
        <w:commentReference w:id="109"/>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4D923E3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10"/>
      <w:r w:rsidR="00E5687D">
        <w:rPr>
          <w:rFonts w:ascii="Times New Roman" w:hAnsi="Times New Roman" w:cs="Times New Roman"/>
          <w:bCs/>
        </w:rPr>
        <w:t>surface contamination</w:t>
      </w:r>
      <w:ins w:id="111" w:author="Austen Apigo" w:date="2020-06-11T09:50:00Z">
        <w:r w:rsidR="0089241E">
          <w:rPr>
            <w:rFonts w:ascii="Times New Roman" w:hAnsi="Times New Roman" w:cs="Times New Roman"/>
            <w:bCs/>
          </w:rPr>
          <w:t xml:space="preserve"> </w:t>
        </w:r>
        <w:commentRangeEnd w:id="110"/>
        <w:r w:rsidR="0089241E">
          <w:rPr>
            <w:rStyle w:val="CommentReference"/>
          </w:rPr>
          <w:commentReference w:id="110"/>
        </w:r>
      </w:ins>
      <w:del w:id="112"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13"/>
      <w:r w:rsidR="006C6013">
        <w:rPr>
          <w:rFonts w:ascii="Times New Roman" w:hAnsi="Times New Roman" w:cs="Times New Roman"/>
          <w:bCs/>
        </w:rPr>
        <w:t xml:space="preserve">we assessed </w:t>
      </w:r>
      <w:ins w:id="114" w:author="Austen Apigo" w:date="2020-06-11T09:55:00Z">
        <w:r w:rsidR="00290446">
          <w:rPr>
            <w:rFonts w:ascii="Times New Roman" w:hAnsi="Times New Roman" w:cs="Times New Roman"/>
            <w:bCs/>
          </w:rPr>
          <w:t>differences</w:t>
        </w:r>
      </w:ins>
      <w:ins w:id="115"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6"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13"/>
      <w:r w:rsidR="0089241E">
        <w:rPr>
          <w:rStyle w:val="CommentReference"/>
        </w:rPr>
        <w:commentReference w:id="113"/>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w:t>
      </w:r>
      <w:commentRangeStart w:id="117"/>
      <w:r w:rsidR="00A90916">
        <w:rPr>
          <w:rFonts w:ascii="Times New Roman" w:hAnsi="Times New Roman" w:cs="Times New Roman"/>
          <w:bCs/>
        </w:rPr>
        <w:t>abundance data and also conducted both presence-absence</w:t>
      </w:r>
      <w:commentRangeEnd w:id="117"/>
      <w:r w:rsidR="00290446">
        <w:rPr>
          <w:rStyle w:val="CommentReference"/>
        </w:rPr>
        <w:commentReference w:id="117"/>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w:t>
      </w:r>
      <w:r>
        <w:rPr>
          <w:rFonts w:ascii="Times New Roman" w:hAnsi="Times New Roman" w:cs="Times New Roman"/>
          <w:bCs/>
        </w:rPr>
        <w:lastRenderedPageBreak/>
        <w:t>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60EB3FCD" w:rsidR="00F86929"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8"/>
      <w:commentRangeStart w:id="119"/>
      <w:r>
        <w:rPr>
          <w:rFonts w:ascii="Times New Roman" w:hAnsi="Times New Roman" w:cs="Times New Roman"/>
          <w:bCs/>
        </w:rPr>
        <w:t>78%, with 56 o</w:t>
      </w:r>
      <w:r w:rsidR="00575844">
        <w:rPr>
          <w:rFonts w:ascii="Times New Roman" w:hAnsi="Times New Roman" w:cs="Times New Roman"/>
          <w:bCs/>
        </w:rPr>
        <w:t>f 72</w:t>
      </w:r>
      <w:commentRangeEnd w:id="118"/>
      <w:r w:rsidR="001D412D">
        <w:rPr>
          <w:rStyle w:val="CommentReference"/>
        </w:rPr>
        <w:commentReference w:id="118"/>
      </w:r>
      <w:commentRangeEnd w:id="119"/>
      <w:r w:rsidR="00290446">
        <w:rPr>
          <w:rStyle w:val="CommentReference"/>
        </w:rPr>
        <w:commentReference w:id="119"/>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del w:id="120" w:author="Austen Apigo" w:date="2020-06-11T10:00:00Z">
        <w:r w:rsidR="00340530" w:rsidDel="00290446">
          <w:rPr>
            <w:rFonts w:ascii="Times New Roman" w:hAnsi="Times New Roman" w:cs="Times New Roman"/>
            <w:bCs/>
          </w:rPr>
          <w:delText xml:space="preserve">received </w:delText>
        </w:r>
      </w:del>
      <w:ins w:id="121"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w:t>
      </w:r>
      <w:commentRangeStart w:id="122"/>
      <w:r w:rsidR="00340530">
        <w:rPr>
          <w:rFonts w:ascii="Times New Roman" w:hAnsi="Times New Roman" w:cs="Times New Roman"/>
          <w:bCs/>
        </w:rPr>
        <w:t xml:space="preserve">the BOLD taxonomic assignments were to species level versus order, family, or genus level for those ASVs that matched in BOLD; 44 </w:t>
      </w:r>
      <w:proofErr w:type="gramStart"/>
      <w:r w:rsidR="00C7187F">
        <w:rPr>
          <w:rFonts w:ascii="Times New Roman" w:hAnsi="Times New Roman" w:cs="Times New Roman"/>
          <w:bCs/>
        </w:rPr>
        <w:t>total</w:t>
      </w:r>
      <w:commentRangeEnd w:id="122"/>
      <w:proofErr w:type="gramEnd"/>
      <w:r w:rsidR="001D412D">
        <w:rPr>
          <w:rStyle w:val="CommentReference"/>
        </w:rPr>
        <w:commentReference w:id="122"/>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4B8DB775"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t>
      </w:r>
      <w:r w:rsidR="00A07E7A">
        <w:rPr>
          <w:rFonts w:ascii="Times New Roman" w:hAnsi="Times New Roman" w:cs="Times New Roman"/>
          <w:bCs/>
        </w:rPr>
        <w:t>this distribution was</w:t>
      </w:r>
      <w:r w:rsidR="00C7187F">
        <w:rPr>
          <w:rFonts w:ascii="Times New Roman" w:hAnsi="Times New Roman" w:cs="Times New Roman"/>
          <w:bCs/>
        </w:rPr>
        <w:t xml:space="preserv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5</w:t>
      </w:r>
      <w:r w:rsidR="00C34486">
        <w:rPr>
          <w:rFonts w:ascii="Times New Roman" w:hAnsi="Times New Roman" w:cs="Times New Roman"/>
          <w:bCs/>
        </w:rPr>
        <w: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23"/>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23"/>
      <w:r w:rsidR="003929EE">
        <w:rPr>
          <w:rStyle w:val="CommentReference"/>
        </w:rPr>
        <w:commentReference w:id="123"/>
      </w:r>
    </w:p>
    <w:p w14:paraId="28DA8D2C" w14:textId="3A6E8FF4"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24"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73617530" w:rsidR="003E3BE4" w:rsidRDefault="008305F5" w:rsidP="00814E6D">
      <w:pPr>
        <w:rPr>
          <w:rFonts w:ascii="Times New Roman" w:hAnsi="Times New Roman" w:cs="Times New Roman"/>
          <w:bCs/>
        </w:rPr>
      </w:pPr>
      <w:commentRangeStart w:id="125"/>
      <w:r>
        <w:rPr>
          <w:rFonts w:ascii="Times New Roman" w:hAnsi="Times New Roman" w:cs="Times New Roman"/>
          <w:bCs/>
        </w:rPr>
        <w:t xml:space="preserve">Offered potential diet </w:t>
      </w:r>
      <w:commentRangeEnd w:id="125"/>
      <w:r w:rsidR="009C4627">
        <w:rPr>
          <w:rStyle w:val="CommentReference"/>
        </w:rPr>
        <w:commentReference w:id="125"/>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A60773">
        <w:rPr>
          <w:rFonts w:ascii="Times New Roman" w:hAnsi="Times New Roman" w:cs="Times New Roman"/>
          <w:bCs/>
        </w:rPr>
        <w:t>1.0%</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5D754DF0" w:rsidR="00F708F0" w:rsidRDefault="00586CA5" w:rsidP="00586CA5">
      <w:pPr>
        <w:rPr>
          <w:rFonts w:ascii="Times New Roman" w:hAnsi="Times New Roman" w:cs="Times New Roman"/>
          <w:bCs/>
        </w:rPr>
      </w:pPr>
      <w:r>
        <w:rPr>
          <w:rFonts w:ascii="Times New Roman" w:hAnsi="Times New Roman" w:cs="Times New Roman"/>
          <w:bCs/>
        </w:rPr>
        <w:lastRenderedPageBreak/>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commentRangeStart w:id="126"/>
      <w:r w:rsidR="00F708F0">
        <w:rPr>
          <w:rFonts w:ascii="Times New Roman" w:hAnsi="Times New Roman" w:cs="Times New Roman"/>
          <w:bCs/>
        </w:rPr>
        <w:t>Supplement</w:t>
      </w:r>
      <w:commentRangeEnd w:id="126"/>
      <w:r w:rsidR="00DF2D8A">
        <w:rPr>
          <w:rStyle w:val="CommentReference"/>
        </w:rPr>
        <w:commentReference w:id="126"/>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7"/>
      <w:r>
        <w:rPr>
          <w:rFonts w:ascii="Times New Roman" w:hAnsi="Times New Roman" w:cs="Times New Roman"/>
          <w:b/>
        </w:rPr>
        <w:t>Discussion</w:t>
      </w:r>
      <w:commentRangeEnd w:id="127"/>
      <w:r w:rsidR="00522EFC">
        <w:rPr>
          <w:rStyle w:val="CommentReference"/>
        </w:rPr>
        <w:commentReference w:id="127"/>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8"/>
      <w:commentRangeStart w:id="129"/>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8"/>
      <w:proofErr w:type="spellEnd"/>
      <w:r w:rsidR="00D97CB8">
        <w:rPr>
          <w:rStyle w:val="CommentReference"/>
        </w:rPr>
        <w:commentReference w:id="128"/>
      </w:r>
      <w:commentRangeEnd w:id="129"/>
      <w:r w:rsidR="00CC3B68">
        <w:rPr>
          <w:rStyle w:val="CommentReference"/>
        </w:rPr>
        <w:commentReference w:id="129"/>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30"/>
      <w:r w:rsidR="00460262">
        <w:rPr>
          <w:rFonts w:ascii="Times New Roman" w:hAnsi="Times New Roman" w:cs="Times New Roman"/>
          <w:bCs/>
        </w:rPr>
        <w:t>74%</w:t>
      </w:r>
      <w:commentRangeEnd w:id="130"/>
      <w:r w:rsidR="00DF2D8A">
        <w:rPr>
          <w:rStyle w:val="CommentReference"/>
        </w:rPr>
        <w:commentReference w:id="130"/>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31"/>
      <w:r w:rsidR="0076296A">
        <w:rPr>
          <w:rFonts w:ascii="Times New Roman" w:hAnsi="Times New Roman" w:cs="Times New Roman"/>
          <w:bCs/>
        </w:rPr>
        <w:t xml:space="preserve">surface contaminants </w:t>
      </w:r>
      <w:commentRangeEnd w:id="131"/>
      <w:r w:rsidR="00115EFE">
        <w:rPr>
          <w:rStyle w:val="CommentReference"/>
        </w:rPr>
        <w:commentReference w:id="131"/>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w:t>
      </w:r>
      <w:r w:rsidR="00B97760">
        <w:rPr>
          <w:rFonts w:ascii="Times New Roman" w:hAnsi="Times New Roman" w:cs="Times New Roman"/>
          <w:bCs/>
        </w:rPr>
        <w:lastRenderedPageBreak/>
        <w:t xml:space="preserve">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32"/>
      <w:r w:rsidR="00A8071D">
        <w:rPr>
          <w:rFonts w:ascii="Times New Roman" w:hAnsi="Times New Roman" w:cs="Times New Roman"/>
          <w:bCs/>
        </w:rPr>
        <w:t>consideration</w:t>
      </w:r>
      <w:commentRangeEnd w:id="132"/>
      <w:r w:rsidR="00115EFE">
        <w:rPr>
          <w:rStyle w:val="CommentReference"/>
        </w:rPr>
        <w:commentReference w:id="132"/>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33"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34" w:author="Ana Miller-Ter Kuile" w:date="2020-06-12T17:56:00Z"/>
          <w:rFonts w:ascii="Times New Roman" w:hAnsi="Times New Roman" w:cs="Times New Roman"/>
          <w:bCs/>
        </w:rPr>
      </w:pPr>
    </w:p>
    <w:p w14:paraId="59F3A117" w14:textId="77777777" w:rsidR="00CC3B68" w:rsidRDefault="00CC3B68" w:rsidP="00CC3B68">
      <w:pPr>
        <w:rPr>
          <w:ins w:id="135" w:author="Ana Miller-Ter Kuile" w:date="2020-06-12T17:56:00Z"/>
          <w:rFonts w:ascii="Times New Roman" w:hAnsi="Times New Roman" w:cs="Times New Roman"/>
          <w:bCs/>
        </w:rPr>
      </w:pPr>
    </w:p>
    <w:p w14:paraId="7277DF25" w14:textId="451AD9CD" w:rsidR="00CC3B68" w:rsidRDefault="00CC3B68" w:rsidP="00CC3B68">
      <w:pPr>
        <w:rPr>
          <w:ins w:id="136" w:author="Ana Miller-Ter Kuile" w:date="2020-06-12T17:57:00Z"/>
          <w:rFonts w:ascii="Times New Roman" w:hAnsi="Times New Roman" w:cs="Times New Roman"/>
          <w:b/>
        </w:rPr>
      </w:pPr>
      <w:ins w:id="137"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8" w:author="Ana Miller-Ter Kuile" w:date="2020-06-12T17:57:00Z">
        <w:r>
          <w:rPr>
            <w:rFonts w:ascii="Times New Roman" w:hAnsi="Times New Roman" w:cs="Times New Roman"/>
            <w:b/>
          </w:rPr>
          <w:t>how, what to sterilize</w:t>
        </w:r>
      </w:ins>
      <w:ins w:id="139"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40" w:author="Ana Miller-Ter Kuile" w:date="2020-06-12T17:56:00Z"/>
          <w:rFonts w:ascii="Times New Roman" w:hAnsi="Times New Roman" w:cs="Times New Roman"/>
          <w:bCs/>
          <w:rPrChange w:id="141" w:author="Ana Miller-Ter Kuile" w:date="2020-06-12T17:57:00Z">
            <w:rPr>
              <w:ins w:id="142" w:author="Ana Miller-Ter Kuile" w:date="2020-06-12T17:56:00Z"/>
              <w:rFonts w:ascii="Times New Roman" w:hAnsi="Times New Roman" w:cs="Times New Roman"/>
              <w:b/>
            </w:rPr>
          </w:rPrChange>
        </w:rPr>
      </w:pPr>
      <w:ins w:id="143" w:author="Ana Miller-Ter Kuile" w:date="2020-06-12T17:57:00Z">
        <w:r w:rsidRPr="00CC3B68">
          <w:rPr>
            <w:rFonts w:ascii="Times New Roman" w:hAnsi="Times New Roman" w:cs="Times New Roman"/>
            <w:bCs/>
            <w:rPrChange w:id="144" w:author="Ana Miller-Ter Kuile" w:date="2020-06-12T17:57:00Z">
              <w:rPr>
                <w:rFonts w:ascii="Times New Roman" w:hAnsi="Times New Roman" w:cs="Times New Roman"/>
                <w:b/>
              </w:rPr>
            </w:rPrChange>
          </w:rPr>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lastRenderedPageBreak/>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lastRenderedPageBreak/>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45"/>
      <w:r>
        <w:rPr>
          <w:rFonts w:ascii="Times New Roman" w:hAnsi="Times New Roman" w:cs="Times New Roman"/>
          <w:b/>
        </w:rPr>
        <w:lastRenderedPageBreak/>
        <w:t>Figures</w:t>
      </w:r>
      <w:commentRangeEnd w:id="145"/>
      <w:r w:rsidR="00AB3807">
        <w:rPr>
          <w:rStyle w:val="CommentReference"/>
        </w:rPr>
        <w:commentReference w:id="14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10T11:50:00Z" w:initials="AA">
    <w:p w14:paraId="31B48016" w14:textId="26427A7F" w:rsidR="00FD3158" w:rsidRDefault="00FD3158">
      <w:pPr>
        <w:pStyle w:val="CommentText"/>
      </w:pPr>
      <w:r>
        <w:rPr>
          <w:rStyle w:val="CommentReference"/>
        </w:rPr>
        <w:annotationRef/>
      </w:r>
      <w:r>
        <w:t xml:space="preserve">Would like to clarify what this means. Does this mean the highest taxonomic level match – so if they both agree at genus but not species, you kept taxonomic entry at the genus level? </w:t>
      </w:r>
    </w:p>
  </w:comment>
  <w:comment w:id="81" w:author="Ana Miller-Ter Kuile" w:date="2020-06-12T17:06:00Z" w:initials="AMK">
    <w:p w14:paraId="5B737CCE" w14:textId="77777777" w:rsidR="005C07D6" w:rsidRDefault="005C07D6">
      <w:pPr>
        <w:pStyle w:val="CommentText"/>
      </w:pPr>
      <w:r>
        <w:rPr>
          <w:rStyle w:val="CommentReference"/>
        </w:rPr>
        <w:annotationRef/>
      </w:r>
      <w:proofErr w:type="spellStart"/>
      <w:r>
        <w:t>Oglomerate</w:t>
      </w:r>
      <w:proofErr w:type="spellEnd"/>
      <w:r>
        <w:t xml:space="preserve"> by shared order</w:t>
      </w:r>
    </w:p>
    <w:p w14:paraId="5E7BB708" w14:textId="77777777" w:rsidR="005C07D6" w:rsidRDefault="005C07D6">
      <w:pPr>
        <w:pStyle w:val="CommentText"/>
      </w:pPr>
      <w:r>
        <w:t>Maybe consider family too?</w:t>
      </w:r>
    </w:p>
    <w:p w14:paraId="3DBB5A74" w14:textId="2BEE39A6" w:rsidR="00F60D8B" w:rsidRDefault="00F60D8B">
      <w:pPr>
        <w:pStyle w:val="CommentText"/>
      </w:pPr>
      <w:r>
        <w:t>Could also blast individually…? Austen gets different results this way</w:t>
      </w:r>
    </w:p>
  </w:comment>
  <w:comment w:id="82"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3"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4"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100" w:author="Austen Apigo" w:date="2020-06-11T10:57:00Z" w:initials="AA">
    <w:p w14:paraId="0F242FC1" w14:textId="66BCDEF4" w:rsidR="003929EE" w:rsidRDefault="003929EE">
      <w:pPr>
        <w:pStyle w:val="CommentText"/>
      </w:pPr>
      <w:r>
        <w:rPr>
          <w:rStyle w:val="CommentReference"/>
        </w:rPr>
        <w:annotationRef/>
      </w:r>
      <w:r>
        <w:t xml:space="preserve">Did you use BLAST and BOLD to confirm O. </w:t>
      </w:r>
      <w:proofErr w:type="gramStart"/>
      <w:r>
        <w:t>japonica.</w:t>
      </w:r>
      <w:proofErr w:type="gramEnd"/>
      <w:r>
        <w:t xml:space="preserve"> Also, if O. japonica was already grouped into one ASV this sentence can be inclusive across all samples? If you’d like to keep this definition separate for field consumers, perhaps include a sentence for the mesocosm ones too about blast/bold and </w:t>
      </w:r>
      <w:proofErr w:type="spellStart"/>
      <w:r>
        <w:t>asv</w:t>
      </w:r>
      <w:proofErr w:type="spellEnd"/>
      <w:r>
        <w:t xml:space="preserve"> combining?</w:t>
      </w:r>
    </w:p>
  </w:comment>
  <w:comment w:id="101" w:author="Austen Apigo" w:date="2020-06-11T09:25:00Z" w:initials="AA">
    <w:p w14:paraId="1A60D597" w14:textId="34AE4602" w:rsidR="004F22FA" w:rsidRDefault="004F22FA">
      <w:pPr>
        <w:pStyle w:val="CommentText"/>
      </w:pPr>
      <w:r>
        <w:rPr>
          <w:rStyle w:val="CommentReference"/>
        </w:rPr>
        <w:annotationRef/>
      </w:r>
      <w:r>
        <w:t>Were they always matched to a species-level assignment? If some ASV matched to a species but others to a genus level, did you go with the species- or genus-level assignment?</w:t>
      </w:r>
    </w:p>
  </w:comment>
  <w:comment w:id="102"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8"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9"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10"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13"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7"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8"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9"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22" w:author="Austen Apigo" w:date="2020-06-08T13:44:00Z" w:initials="AA">
    <w:p w14:paraId="26000789" w14:textId="1399D244" w:rsidR="001D412D" w:rsidRDefault="001D412D">
      <w:pPr>
        <w:pStyle w:val="CommentText"/>
      </w:pPr>
      <w:r>
        <w:rPr>
          <w:rStyle w:val="CommentReference"/>
        </w:rPr>
        <w:annotationRef/>
      </w:r>
      <w:r w:rsidR="003929EE">
        <w:rPr>
          <w:rStyle w:val="CommentReference"/>
        </w:rPr>
        <w:t>A little confused on what this means.</w:t>
      </w:r>
    </w:p>
  </w:comment>
  <w:comment w:id="123"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25"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26" w:author="Austen Apigo" w:date="2020-06-11T11:59:00Z" w:initials="AA">
    <w:p w14:paraId="4FF1AE4D" w14:textId="05B8A0EF" w:rsidR="00DF2D8A" w:rsidRDefault="00DF2D8A">
      <w:pPr>
        <w:pStyle w:val="CommentText"/>
      </w:pPr>
      <w:r>
        <w:rPr>
          <w:rStyle w:val="CommentReference"/>
        </w:rPr>
        <w:annotationRef/>
      </w:r>
    </w:p>
  </w:comment>
  <w:comment w:id="127"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8"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9"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30"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31"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32"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45"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31B48016" w15:done="0"/>
  <w15:commentEx w15:paraId="3DBB5A74" w15:paraIdParent="31B48016" w15:done="0"/>
  <w15:commentEx w15:paraId="15A77701" w15:done="0"/>
  <w15:commentEx w15:paraId="23E76FC0" w15:done="0"/>
  <w15:commentEx w15:paraId="71B5A099" w15:done="0"/>
  <w15:commentEx w15:paraId="0F242FC1" w15:done="0"/>
  <w15:commentEx w15:paraId="1A60D597"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26000789"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B479F" w16cex:dateUtc="2020-06-10T18:50:00Z"/>
  <w16cex:commentExtensible w16cex:durableId="228E34A1" w16cex:dateUtc="2020-06-12T22:0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C8CA0" w16cex:dateUtc="2020-06-11T17:57:00Z"/>
  <w16cex:commentExtensible w16cex:durableId="228C76F7" w16cex:dateUtc="2020-06-11T16:25: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8BF46" w16cex:dateUtc="2020-06-08T20:44: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31B48016" w16cid:durableId="228B479F"/>
  <w16cid:commentId w16cid:paraId="3DBB5A74" w16cid:durableId="228E34A1"/>
  <w16cid:commentId w16cid:paraId="15A77701" w16cid:durableId="2288978E"/>
  <w16cid:commentId w16cid:paraId="23E76FC0" w16cid:durableId="2288A185"/>
  <w16cid:commentId w16cid:paraId="71B5A099" w16cid:durableId="228C7430"/>
  <w16cid:commentId w16cid:paraId="0F242FC1" w16cid:durableId="228C8CA0"/>
  <w16cid:commentId w16cid:paraId="1A60D597" w16cid:durableId="228C76F7"/>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26000789" w16cid:durableId="2288BF46"/>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57D9F"/>
    <w:rsid w:val="00B61602"/>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4548"/>
    <w:rsid w:val="00CE214D"/>
    <w:rsid w:val="00CE269D"/>
    <w:rsid w:val="00CE29FA"/>
    <w:rsid w:val="00CE60A0"/>
    <w:rsid w:val="00CF0533"/>
    <w:rsid w:val="00CF0D31"/>
    <w:rsid w:val="00D01308"/>
    <w:rsid w:val="00D02159"/>
    <w:rsid w:val="00D02629"/>
    <w:rsid w:val="00D03CD9"/>
    <w:rsid w:val="00D0583C"/>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2D8A"/>
    <w:rsid w:val="00DF6B43"/>
    <w:rsid w:val="00DF7E0C"/>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7563</Words>
  <Characters>43113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cp:revision>
  <dcterms:created xsi:type="dcterms:W3CDTF">2020-06-12T23:10:00Z</dcterms:created>
  <dcterms:modified xsi:type="dcterms:W3CDTF">2020-06-15T14:28:00Z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