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D6F95D1"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025675A1" w14:textId="77777777" w:rsidR="008A1CF7" w:rsidRDefault="008A1CF7">
      <w:pPr>
        <w:rPr>
          <w:rFonts w:ascii="Times New Roman" w:hAnsi="Times New Roman" w:cs="Times New Roman"/>
          <w:b/>
        </w:rPr>
      </w:pPr>
    </w:p>
    <w:p w14:paraId="629FBC51" w14:textId="449E53A2" w:rsidR="0069730B" w:rsidRDefault="0069730B">
      <w:pPr>
        <w:rPr>
          <w:rFonts w:ascii="Times New Roman" w:hAnsi="Times New Roman" w:cs="Times New Roman"/>
          <w:b/>
        </w:rPr>
      </w:pPr>
      <w:r>
        <w:rPr>
          <w:rFonts w:ascii="Times New Roman" w:hAnsi="Times New Roman" w:cs="Times New Roman"/>
          <w:b/>
        </w:rPr>
        <w:t>Abstract (</w:t>
      </w:r>
      <w:r w:rsidR="008D666D">
        <w:rPr>
          <w:rFonts w:ascii="Times New Roman" w:hAnsi="Times New Roman" w:cs="Times New Roman"/>
          <w:b/>
        </w:rPr>
        <w:t xml:space="preserve">≤ </w:t>
      </w:r>
      <w:r>
        <w:rPr>
          <w:rFonts w:ascii="Times New Roman" w:hAnsi="Times New Roman" w:cs="Times New Roman"/>
          <w:b/>
        </w:rPr>
        <w:t>250 words)</w:t>
      </w:r>
    </w:p>
    <w:p w14:paraId="6CE96CC4" w14:textId="4448E82E" w:rsidR="00773B6A" w:rsidRDefault="00773B6A">
      <w:pPr>
        <w:rPr>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and </w:t>
      </w:r>
      <w:r>
        <w:rPr>
          <w:rFonts w:ascii="Times New Roman" w:hAnsi="Times New Roman" w:cs="Times New Roman"/>
          <w:bCs/>
        </w:rPr>
        <w:t xml:space="preserve">DNA metabarcoding is an emerging tool to </w:t>
      </w:r>
      <w:r w:rsidR="00CB7B0A">
        <w:rPr>
          <w:rFonts w:ascii="Times New Roman" w:hAnsi="Times New Roman" w:cs="Times New Roman"/>
          <w:bCs/>
        </w:rPr>
        <w:t>expose</w:t>
      </w:r>
      <w:r>
        <w:rPr>
          <w:rFonts w:ascii="Times New Roman" w:hAnsi="Times New Roman" w:cs="Times New Roman"/>
          <w:bCs/>
        </w:rPr>
        <w:t xml:space="preserve"> </w:t>
      </w:r>
      <w:r w:rsidR="00CB7B0A">
        <w:rPr>
          <w:rFonts w:ascii="Times New Roman" w:hAnsi="Times New Roman" w:cs="Times New Roman"/>
          <w:bCs/>
        </w:rPr>
        <w:t xml:space="preserve">consumptive </w:t>
      </w:r>
      <w:r>
        <w:rPr>
          <w:rFonts w:ascii="Times New Roman" w:hAnsi="Times New Roman" w:cs="Times New Roman"/>
          <w:bCs/>
        </w:rPr>
        <w:t>interactions in new environments and consumer groups.</w:t>
      </w:r>
    </w:p>
    <w:p w14:paraId="6CB99B86" w14:textId="785653F7" w:rsidR="00773B6A" w:rsidRDefault="00CB7B0A">
      <w:pPr>
        <w:rPr>
          <w:rFonts w:ascii="Times New Roman" w:hAnsi="Times New Roman" w:cs="Times New Roman"/>
          <w:bCs/>
        </w:rPr>
      </w:pPr>
      <w:r>
        <w:rPr>
          <w:rFonts w:ascii="Times New Roman" w:hAnsi="Times New Roman" w:cs="Times New Roman"/>
          <w:bCs/>
        </w:rPr>
        <w:t>However, i</w:t>
      </w:r>
      <w:r w:rsidR="00773B6A">
        <w:rPr>
          <w:rFonts w:ascii="Times New Roman" w:hAnsi="Times New Roman" w:cs="Times New Roman"/>
          <w:bCs/>
        </w:rPr>
        <w:t>n many of these contexts, the</w:t>
      </w:r>
      <w:r>
        <w:rPr>
          <w:rFonts w:ascii="Times New Roman" w:hAnsi="Times New Roman" w:cs="Times New Roman"/>
          <w:bCs/>
        </w:rPr>
        <w:t xml:space="preserve"> small</w:t>
      </w:r>
      <w:r w:rsidR="00773B6A">
        <w:rPr>
          <w:rFonts w:ascii="Times New Roman" w:hAnsi="Times New Roman" w:cs="Times New Roman"/>
          <w:bCs/>
        </w:rPr>
        <w:t xml:space="preserve"> body size of consumers requires DNA extraction from full body parts, and so surface contamination could alter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t>
      </w:r>
    </w:p>
    <w:p w14:paraId="71CBD14F" w14:textId="40A405C2" w:rsidR="00773B6A" w:rsidRDefault="00773B6A">
      <w:pPr>
        <w:rPr>
          <w:rFonts w:ascii="Times New Roman" w:hAnsi="Times New Roman" w:cs="Times New Roman"/>
          <w:bCs/>
        </w:rPr>
      </w:pPr>
      <w:r>
        <w:rPr>
          <w:rFonts w:ascii="Times New Roman" w:hAnsi="Times New Roman" w:cs="Times New Roman"/>
          <w:bCs/>
        </w:rPr>
        <w:t>Methods: We look at different measures of diet (consumption</w:t>
      </w:r>
      <w:r w:rsidR="009A514C">
        <w:rPr>
          <w:rFonts w:ascii="Times New Roman" w:hAnsi="Times New Roman" w:cs="Times New Roman"/>
          <w:bCs/>
        </w:rPr>
        <w:t xml:space="preserve"> frequency</w:t>
      </w:r>
      <w:r>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Pr>
          <w:rFonts w:ascii="Times New Roman" w:hAnsi="Times New Roman" w:cs="Times New Roman"/>
          <w:bCs/>
        </w:rPr>
        <w:t>occurring diet items)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Pr>
          <w:rFonts w:ascii="Times New Roman" w:hAnsi="Times New Roman" w:cs="Times New Roman"/>
          <w:bCs/>
        </w:rPr>
        <w:t>using washes in</w:t>
      </w:r>
      <w:r w:rsidR="009A514C">
        <w:rPr>
          <w:rFonts w:ascii="Times New Roman" w:hAnsi="Times New Roman" w:cs="Times New Roman"/>
          <w:bCs/>
        </w:rPr>
        <w:t xml:space="preserve"> </w:t>
      </w:r>
      <w:commentRangeStart w:id="0"/>
      <w:r w:rsidR="009A514C">
        <w:rPr>
          <w:rFonts w:ascii="Times New Roman" w:hAnsi="Times New Roman" w:cs="Times New Roman"/>
          <w:bCs/>
        </w:rPr>
        <w:t>10% commercial bleach solution</w:t>
      </w:r>
      <w:r>
        <w:rPr>
          <w:rFonts w:ascii="Times New Roman" w:hAnsi="Times New Roman" w:cs="Times New Roman"/>
          <w:bCs/>
        </w:rPr>
        <w:t xml:space="preserve"> </w:t>
      </w:r>
      <w:commentRangeEnd w:id="0"/>
      <w:r w:rsidR="009A514C">
        <w:rPr>
          <w:rStyle w:val="CommentReference"/>
        </w:rPr>
        <w:commentReference w:id="0"/>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826B80">
        <w:rPr>
          <w:rFonts w:ascii="Times New Roman" w:hAnsi="Times New Roman" w:cs="Times New Roman"/>
          <w:bCs/>
        </w:rPr>
        <w:t>.</w:t>
      </w:r>
    </w:p>
    <w:p w14:paraId="346F6C62" w14:textId="4A2032E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nd that surface contaminants do not alter any measure of diet (consumption, abundance, diversity, or composition) for consumers collected in a natural environment. In a mesocosm environment, we saw</w:t>
      </w:r>
      <w:r w:rsidR="009A514C">
        <w:rPr>
          <w:rFonts w:ascii="Times New Roman" w:hAnsi="Times New Roman" w:cs="Times New Roman"/>
          <w:bCs/>
        </w:rPr>
        <w:t xml:space="preserve"> evidence</w:t>
      </w:r>
      <w:r>
        <w:rPr>
          <w:rFonts w:ascii="Times New Roman" w:hAnsi="Times New Roman" w:cs="Times New Roman"/>
          <w:bCs/>
        </w:rPr>
        <w:t xml:space="preserve"> that </w:t>
      </w:r>
      <w:r w:rsidR="002D2352">
        <w:rPr>
          <w:rFonts w:ascii="Times New Roman" w:hAnsi="Times New Roman" w:cs="Times New Roman"/>
          <w:bCs/>
        </w:rPr>
        <w:t xml:space="preserve">potential surface contaminants from the offered diet item </w:t>
      </w:r>
      <w:r>
        <w:rPr>
          <w:rFonts w:ascii="Times New Roman" w:hAnsi="Times New Roman" w:cs="Times New Roman"/>
          <w:bCs/>
        </w:rPr>
        <w:t>inflated estimates of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9A514C">
        <w:rPr>
          <w:rFonts w:ascii="Times New Roman" w:hAnsi="Times New Roman" w:cs="Times New Roman"/>
          <w:bCs/>
        </w:rPr>
        <w:t xml:space="preserve">, though the results were marginally significant </w:t>
      </w:r>
      <w:r w:rsidRPr="001A6786">
        <w:rPr>
          <w:rFonts w:ascii="Times New Roman" w:hAnsi="Times New Roman" w:cs="Times New Roman"/>
          <w:bCs/>
        </w:rPr>
        <w:t>(</w:t>
      </w:r>
      <m:oMath>
        <m:r>
          <w:rPr>
            <w:rFonts w:ascii="Cambria Math" w:hAnsi="Cambria Math" w:cs="Times New Roman"/>
          </w:rPr>
          <m:t>β=</m:t>
        </m:r>
        <m:r>
          <m:rPr>
            <m:sty m:val="p"/>
          </m:rPr>
          <w:rPr>
            <w:rFonts w:ascii="Cambria Math" w:hAnsi="Cambria Math" w:cs="Times New Roman"/>
          </w:rPr>
          <m:t>-2.3</m:t>
        </m:r>
      </m:oMath>
      <w:r w:rsidR="001A6786">
        <w:rPr>
          <w:rFonts w:ascii="Times New Roman" w:eastAsiaTheme="minorEastAsia" w:hAnsi="Times New Roman" w:cs="Times New Roman"/>
        </w:rPr>
        <w:t xml:space="preserve">, </w:t>
      </w:r>
      <w:r>
        <w:rPr>
          <w:rFonts w:ascii="Times New Roman" w:eastAsiaTheme="minorEastAsia" w:hAnsi="Times New Roman" w:cs="Times New Roman"/>
          <w:bCs/>
        </w:rPr>
        <w:t xml:space="preserve">p-value = 0.07). </w:t>
      </w:r>
    </w:p>
    <w:p w14:paraId="5834A750" w14:textId="19592F21"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r w:rsidR="0008785B">
        <w:rPr>
          <w:rFonts w:ascii="Times New Roman" w:eastAsiaTheme="minorEastAsia" w:hAnsi="Times New Roman" w:cs="Times New Roman"/>
          <w:bCs/>
        </w:rPr>
        <w:t>by environment</w:t>
      </w:r>
      <w:r w:rsidR="00CB7B0A">
        <w:rPr>
          <w:rFonts w:ascii="Times New Roman" w:eastAsiaTheme="minorEastAsia" w:hAnsi="Times New Roman" w:cs="Times New Roman"/>
          <w:bCs/>
        </w:rPr>
        <w:t xml:space="preserve">al context </w:t>
      </w:r>
      <w:r w:rsidR="00804872">
        <w:rPr>
          <w:rFonts w:ascii="Times New Roman" w:eastAsiaTheme="minorEastAsia" w:hAnsi="Times New Roman" w:cs="Times New Roman"/>
          <w:bCs/>
        </w:rPr>
        <w:t>suggest that considering and mitigating environmental conditions that increase the likelihood of surface contamination should be a first step in any diet DNA metabarcoding study of invertebrate consumers.</w:t>
      </w:r>
    </w:p>
    <w:p w14:paraId="60CB332D" w14:textId="77777777" w:rsidR="00CB7B0A" w:rsidRDefault="00CB7B0A" w:rsidP="00CB7B0A">
      <w:pPr>
        <w:rPr>
          <w:rFonts w:ascii="Times New Roman" w:hAnsi="Times New Roman" w:cs="Times New Roman"/>
          <w:b/>
        </w:rPr>
      </w:pPr>
    </w:p>
    <w:p w14:paraId="5E2625C1" w14:textId="73C85DE9" w:rsidR="00CB7B0A" w:rsidRPr="00CB7B0A" w:rsidRDefault="00CB7B0A" w:rsidP="00CB7B0A">
      <w:pPr>
        <w:rPr>
          <w:rFonts w:ascii="Times New Roman" w:hAnsi="Times New Roman" w:cs="Times New Roman"/>
          <w:bCs/>
        </w:rPr>
      </w:pPr>
      <w:r>
        <w:rPr>
          <w:rFonts w:ascii="Times New Roman" w:hAnsi="Times New Roman" w:cs="Times New Roman"/>
          <w:b/>
        </w:rPr>
        <w:t xml:space="preserve">Keywords (4-6): </w:t>
      </w:r>
      <w:r>
        <w:rPr>
          <w:rFonts w:ascii="Times New Roman" w:hAnsi="Times New Roman" w:cs="Times New Roman"/>
          <w:bCs/>
        </w:rPr>
        <w:t>consumptive interactions, arthropods, surface sterilization, food web, predator prey interactions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4C96761A"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4146411D"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w:t>
      </w:r>
      <w:r w:rsidR="00C936B7">
        <w:rPr>
          <w:rFonts w:ascii="Times New Roman" w:hAnsi="Times New Roman" w:cs="Times New Roman"/>
          <w:bCs/>
        </w:rPr>
        <w:t>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6A22B445"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w:t>
      </w:r>
      <w:proofErr w:type="spellStart"/>
      <w:r w:rsidR="000C0AE6">
        <w:rPr>
          <w:rFonts w:ascii="Times New Roman" w:hAnsi="Times New Roman" w:cs="Times New Roman"/>
          <w:bCs/>
        </w:rPr>
        <w:t>Carini</w:t>
      </w:r>
      <w:proofErr w:type="spellEnd"/>
      <w:r w:rsidR="000C0AE6">
        <w:rPr>
          <w:rFonts w:ascii="Times New Roman" w:hAnsi="Times New Roman" w:cs="Times New Roman"/>
          <w:bCs/>
        </w:rPr>
        <w:t xml:space="preserve"> et al. 2016, Collins et al. 2018), DNA abundance (</w:t>
      </w:r>
      <w:proofErr w:type="spellStart"/>
      <w:r w:rsidR="000C0AE6">
        <w:rPr>
          <w:rFonts w:ascii="Times New Roman" w:hAnsi="Times New Roman" w:cs="Times New Roman"/>
          <w:bCs/>
        </w:rPr>
        <w:t>Elbrecht</w:t>
      </w:r>
      <w:proofErr w:type="spellEnd"/>
      <w:r w:rsidR="000C0AE6">
        <w:rPr>
          <w:rFonts w:ascii="Times New Roman" w:hAnsi="Times New Roman" w:cs="Times New Roman"/>
          <w:bCs/>
        </w:rPr>
        <w:t xml:space="preserve"> et al. ), or the likelihood that consumers come in contact with diet items in the environment (Greenstone et al.).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about the species-, population-, or community-level rate of consumption of a diet item or items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w:t>
      </w:r>
      <w:r w:rsidR="00DD1D92">
        <w:rPr>
          <w:rFonts w:ascii="Times New Roman" w:hAnsi="Times New Roman" w:cs="Times New Roman"/>
          <w:bCs/>
        </w:rPr>
        <w:lastRenderedPageBreak/>
        <w:t>groups of organisms (</w:t>
      </w:r>
      <w:r w:rsidR="003603F7">
        <w:rPr>
          <w:rFonts w:ascii="Times New Roman" w:hAnsi="Times New Roman" w:cs="Times New Roman"/>
          <w:bCs/>
        </w:rPr>
        <w:t xml:space="preserve">e.g.,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661519F0"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on our understanding of consumer diets where the DNA of </w:t>
      </w:r>
      <w:r w:rsidR="005117D9">
        <w:rPr>
          <w:rFonts w:ascii="Times New Roman" w:hAnsi="Times New Roman" w:cs="Times New Roman"/>
          <w:bCs/>
        </w:rPr>
        <w:t>full body parts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w:t>
      </w:r>
      <w:r w:rsidR="003603F7">
        <w:rPr>
          <w:rFonts w:ascii="Times New Roman" w:hAnsi="Times New Roman" w:cs="Times New Roman"/>
          <w:bCs/>
        </w:rPr>
        <w:t xml:space="preserve"> abundance</w:t>
      </w:r>
      <w:r w:rsidR="00E055C4">
        <w:rPr>
          <w:rFonts w:ascii="Times New Roman" w:hAnsi="Times New Roman" w:cs="Times New Roman"/>
          <w:bCs/>
        </w:rPr>
        <w:t xml:space="preserve">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Examining how surface contaminants may contribute to estimated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69D772"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64B5C44"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w:t>
      </w:r>
      <w:r w:rsidR="00EB634F">
        <w:rPr>
          <w:rFonts w:ascii="Times New Roman" w:hAnsi="Times New Roman" w:cs="Times New Roman"/>
          <w:bCs/>
        </w:rPr>
        <w:lastRenderedPageBreak/>
        <w:t xml:space="preserve">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E3FC7EA"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xml:space="preserve">, leaving semi-digested diet DNA </w:t>
      </w:r>
      <w:r w:rsidR="001E4B63">
        <w:rPr>
          <w:rFonts w:ascii="Times New Roman" w:hAnsi="Times New Roman" w:cs="Times New Roman"/>
          <w:bCs/>
        </w:rPr>
        <w:lastRenderedPageBreak/>
        <w:t>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1"/>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commentRangeEnd w:id="1"/>
      <w:r w:rsidR="007F5321">
        <w:rPr>
          <w:rStyle w:val="CommentReference"/>
        </w:rPr>
        <w:commentReference w:id="1"/>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29E6B1E"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8F15E56"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 contamination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 xml:space="preserve">diet </w:t>
      </w:r>
      <w:r w:rsidR="00922DFA">
        <w:rPr>
          <w:rFonts w:ascii="Times New Roman" w:hAnsi="Times New Roman" w:cs="Times New Roman"/>
          <w:bCs/>
        </w:rPr>
        <w:lastRenderedPageBreak/>
        <w:t>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5E148D2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 xml:space="preserve">examined the model summary to determine the standardized </w:t>
      </w:r>
      <w:r w:rsidR="003E2216">
        <w:rPr>
          <w:rFonts w:ascii="Times New Roman" w:hAnsi="Times New Roman" w:cs="Times New Roman"/>
          <w:bCs/>
        </w:rPr>
        <w:lastRenderedPageBreak/>
        <w:t>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09E11AF"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_ of _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lastRenderedPageBreak/>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E82759C"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urface contamination does not appear to systematically introduce erroneous</w:t>
      </w:r>
      <w:r w:rsidR="001C5EFD">
        <w:rPr>
          <w:rFonts w:ascii="Times New Roman" w:hAnsi="Times New Roman" w:cs="Times New Roman"/>
          <w:bCs/>
        </w:rPr>
        <w:t xml:space="preserve"> or hide diet items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a new environment, especially in a contained environment. 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673FDBC5"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B97760">
        <w:rPr>
          <w:rFonts w:ascii="Times New Roman" w:hAnsi="Times New Roman" w:cs="Times New Roman"/>
          <w:bCs/>
        </w:rPr>
        <w:lastRenderedPageBreak/>
        <w:t>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w:t>
      </w:r>
      <w:proofErr w:type="spellStart"/>
      <w:r w:rsidR="009D1EEB">
        <w:rPr>
          <w:rFonts w:ascii="Times New Roman" w:hAnsi="Times New Roman" w:cs="Times New Roman"/>
          <w:bCs/>
        </w:rPr>
        <w:t>Elbrecht</w:t>
      </w:r>
      <w:proofErr w:type="spellEnd"/>
      <w:r w:rsidR="009D1EEB">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3BA1009"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 xml:space="preserve">For example, any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2"/>
      <w:r>
        <w:rPr>
          <w:rFonts w:ascii="Times New Roman" w:hAnsi="Times New Roman" w:cs="Times New Roman"/>
          <w:b/>
        </w:rPr>
        <w:t>sterilize</w:t>
      </w:r>
      <w:commentRangeEnd w:id="2"/>
      <w:r w:rsidR="006467DE">
        <w:rPr>
          <w:rStyle w:val="CommentReference"/>
        </w:rPr>
        <w:commentReference w:id="2"/>
      </w:r>
      <w:r w:rsidRPr="005D74B6">
        <w:rPr>
          <w:rFonts w:ascii="Times New Roman" w:hAnsi="Times New Roman" w:cs="Times New Roman"/>
          <w:b/>
        </w:rPr>
        <w:t>]</w:t>
      </w:r>
    </w:p>
    <w:p w14:paraId="23CFF71A" w14:textId="3C64A313" w:rsidR="00736FB5" w:rsidRPr="009A37DF" w:rsidRDefault="00BB083E" w:rsidP="000A7CEB">
      <w:pPr>
        <w:rPr>
          <w:rFonts w:ascii="Times New Roman" w:hAnsi="Times New Roman" w:cs="Times New Roman"/>
          <w:bCs/>
        </w:rPr>
      </w:pPr>
      <w:r>
        <w:rPr>
          <w:rFonts w:ascii="Times New Roman" w:hAnsi="Times New Roman" w:cs="Times New Roman"/>
          <w:bCs/>
        </w:rPr>
        <w:t xml:space="preserve">The equivocal results of our study highlight that the field of diet DNA metabarcoding </w:t>
      </w:r>
      <w:r w:rsidR="009D1EEB">
        <w:rPr>
          <w:rFonts w:ascii="Times New Roman" w:hAnsi="Times New Roman" w:cs="Times New Roman"/>
          <w:bCs/>
        </w:rPr>
        <w:t xml:space="preserve">will </w:t>
      </w:r>
      <w:r>
        <w:rPr>
          <w:rFonts w:ascii="Times New Roman" w:hAnsi="Times New Roman" w:cs="Times New Roman"/>
          <w:bCs/>
        </w:rPr>
        <w:t>benefit from more stud</w:t>
      </w:r>
      <w:r w:rsidR="009D1EEB">
        <w:rPr>
          <w:rFonts w:ascii="Times New Roman" w:hAnsi="Times New Roman" w:cs="Times New Roman"/>
          <w:bCs/>
        </w:rPr>
        <w:t>y</w:t>
      </w:r>
      <w:r>
        <w:rPr>
          <w:rFonts w:ascii="Times New Roman" w:hAnsi="Times New Roman" w:cs="Times New Roman"/>
          <w:bCs/>
        </w:rPr>
        <w:t xml:space="preserve"> on the effects of surface contamination generally as well as developing study-specific approaches to surface sterilization to mitigate </w:t>
      </w:r>
      <w:r w:rsidR="00950E51">
        <w:rPr>
          <w:rFonts w:ascii="Times New Roman" w:hAnsi="Times New Roman" w:cs="Times New Roman"/>
          <w:bCs/>
        </w:rPr>
        <w:t>contamination</w:t>
      </w:r>
      <w:r>
        <w:rPr>
          <w:rFonts w:ascii="Times New Roman" w:hAnsi="Times New Roman" w:cs="Times New Roman"/>
          <w:bCs/>
        </w:rPr>
        <w:t xml:space="preserve"> effects. </w:t>
      </w:r>
      <w:r w:rsidR="009A6532">
        <w:rPr>
          <w:rFonts w:ascii="Times New Roman" w:hAnsi="Times New Roman" w:cs="Times New Roman"/>
          <w:bCs/>
        </w:rPr>
        <w:t>Building off this study, it seems important to understand the relative importance of surface contaminants across a range of environmental and ecological conditions and to determine mechanisms and factors influencing contamination risk</w:t>
      </w:r>
      <w:r w:rsidR="006E51A9">
        <w:rPr>
          <w:rFonts w:ascii="Times New Roman" w:hAnsi="Times New Roman" w:cs="Times New Roman"/>
          <w:bCs/>
        </w:rPr>
        <w:t xml:space="preserve"> (e.g. environmental factors contributing to contaminant persistence Collins et al. 2018, Strickler et al. 2019, </w:t>
      </w:r>
      <w:proofErr w:type="spellStart"/>
      <w:r w:rsidR="006E51A9">
        <w:rPr>
          <w:rFonts w:ascii="Times New Roman" w:hAnsi="Times New Roman" w:cs="Times New Roman"/>
          <w:bCs/>
        </w:rPr>
        <w:t>Machler</w:t>
      </w:r>
      <w:proofErr w:type="spellEnd"/>
      <w:r w:rsidR="006E51A9">
        <w:rPr>
          <w:rFonts w:ascii="Times New Roman" w:hAnsi="Times New Roman" w:cs="Times New Roman"/>
          <w:bCs/>
        </w:rPr>
        <w:t xml:space="preserve"> et al. 2018, </w:t>
      </w:r>
      <w:proofErr w:type="spellStart"/>
      <w:r w:rsidR="006E51A9">
        <w:rPr>
          <w:rFonts w:ascii="Times New Roman" w:hAnsi="Times New Roman" w:cs="Times New Roman"/>
          <w:bCs/>
        </w:rPr>
        <w:t>Pilliod</w:t>
      </w:r>
      <w:proofErr w:type="spellEnd"/>
      <w:r w:rsidR="006E51A9">
        <w:rPr>
          <w:rFonts w:ascii="Times New Roman" w:hAnsi="Times New Roman" w:cs="Times New Roman"/>
          <w:bCs/>
        </w:rPr>
        <w:t xml:space="preserve"> et al 2014; or ecological or methodological factors contributing to contamination risk and abundance Greenstone, </w:t>
      </w:r>
      <w:proofErr w:type="spellStart"/>
      <w:r w:rsidR="006E51A9">
        <w:rPr>
          <w:rFonts w:ascii="Times New Roman" w:hAnsi="Times New Roman" w:cs="Times New Roman"/>
          <w:bCs/>
        </w:rPr>
        <w:t>Elbrecht</w:t>
      </w:r>
      <w:proofErr w:type="spellEnd"/>
      <w:r w:rsidR="006E51A9">
        <w:rPr>
          <w:rFonts w:ascii="Times New Roman" w:hAnsi="Times New Roman" w:cs="Times New Roman"/>
          <w:bCs/>
        </w:rPr>
        <w:t xml:space="preserve">). Other factors when considering surface sterilization in any study also relate to the organisms in question and the downsides of surface sterilization treatments, </w:t>
      </w:r>
      <w:r w:rsidR="006E51A9">
        <w:rPr>
          <w:rFonts w:ascii="Times New Roman" w:hAnsi="Times New Roman" w:cs="Times New Roman"/>
          <w:bCs/>
        </w:rPr>
        <w:lastRenderedPageBreak/>
        <w:t>including the risk of DNA degradation due to physical or chemical treatments (e.g. Greenstone 2012).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diet DNA metabarcoding samples to other fields (Brown et al. 2018). In many cases</w:t>
      </w:r>
      <w:r w:rsidR="00950E51">
        <w:rPr>
          <w:rFonts w:ascii="Times New Roman" w:hAnsi="Times New Roman" w:cs="Times New Roman"/>
          <w:bCs/>
        </w:rPr>
        <w:t>,</w:t>
      </w:r>
      <w:r w:rsidR="006E51A9">
        <w:rPr>
          <w:rFonts w:ascii="Times New Roman" w:hAnsi="Times New Roman" w:cs="Times New Roman"/>
          <w:bCs/>
        </w:rPr>
        <w:t xml:space="preserve"> it may be that surface sterilization is not </w:t>
      </w:r>
      <w:r w:rsidR="00950E51">
        <w:rPr>
          <w:rFonts w:ascii="Times New Roman" w:hAnsi="Times New Roman" w:cs="Times New Roman"/>
          <w:bCs/>
        </w:rPr>
        <w:t xml:space="preserve">a </w:t>
      </w:r>
      <w:r w:rsidR="006E51A9">
        <w:rPr>
          <w:rFonts w:ascii="Times New Roman" w:hAnsi="Times New Roman" w:cs="Times New Roman"/>
          <w:bCs/>
        </w:rPr>
        <w:t>necessary</w:t>
      </w:r>
      <w:r w:rsidR="00950E51">
        <w:rPr>
          <w:rFonts w:ascii="Times New Roman" w:hAnsi="Times New Roman" w:cs="Times New Roman"/>
          <w:bCs/>
        </w:rPr>
        <w:t xml:space="preserve"> step in diet DNA metabarcoding studies</w:t>
      </w:r>
      <w:r w:rsidR="00144834">
        <w:rPr>
          <w:rFonts w:ascii="Times New Roman" w:hAnsi="Times New Roman" w:cs="Times New Roman"/>
          <w:bCs/>
        </w:rPr>
        <w:t xml:space="preserve"> or that other mitigating steps</w:t>
      </w:r>
      <w:r w:rsidR="009D1EEB">
        <w:rPr>
          <w:rFonts w:ascii="Times New Roman" w:hAnsi="Times New Roman" w:cs="Times New Roman"/>
          <w:bCs/>
        </w:rPr>
        <w:t xml:space="preserve"> such as careful collection protocols</w:t>
      </w:r>
      <w:r w:rsidR="00144834">
        <w:rPr>
          <w:rFonts w:ascii="Times New Roman" w:hAnsi="Times New Roman" w:cs="Times New Roman"/>
          <w:bCs/>
        </w:rPr>
        <w:t xml:space="preserve"> can be taken to avoid the risks of surface contamination</w:t>
      </w:r>
      <w:r w:rsidR="009D1EEB">
        <w:rPr>
          <w:rFonts w:ascii="Times New Roman" w:hAnsi="Times New Roman" w:cs="Times New Roman"/>
          <w:bCs/>
        </w:rPr>
        <w:t xml:space="preserve"> (Greenstone et al. 2011/12)</w:t>
      </w:r>
      <w:r w:rsidR="00144834">
        <w:rPr>
          <w:rFonts w:ascii="Times New Roman" w:hAnsi="Times New Roman" w:cs="Times New Roman"/>
          <w:bCs/>
        </w:rPr>
        <w:t>.</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77F3FA4C" w:rsidR="00F55BE0" w:rsidRDefault="00C25C76" w:rsidP="00072953">
      <w:pPr>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xml:space="preserve">). Like any method for determining consumptive interactions in nature, DNA metabarcoding needs refinement </w:t>
      </w:r>
      <w:proofErr w:type="gramStart"/>
      <w:r w:rsidR="00072953">
        <w:rPr>
          <w:rFonts w:ascii="Times New Roman" w:hAnsi="Times New Roman" w:cs="Times New Roman"/>
          <w:bCs/>
        </w:rPr>
        <w:t>( Zinger</w:t>
      </w:r>
      <w:proofErr w:type="gramEnd"/>
      <w:r w:rsidR="00072953">
        <w:rPr>
          <w:rFonts w:ascii="Times New Roman" w:hAnsi="Times New Roman" w:cs="Times New Roman"/>
          <w:bCs/>
        </w:rPr>
        <w:t xml:space="preserve">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w:t>
      </w:r>
      <w:r>
        <w:rPr>
          <w:rFonts w:ascii="Times New Roman" w:hAnsi="Times New Roman" w:cs="Times New Roman"/>
          <w:bCs/>
        </w:rPr>
        <w:t xml:space="preserve"> grow and</w:t>
      </w:r>
      <w:r w:rsidR="00BA300F">
        <w:rPr>
          <w:rFonts w:ascii="Times New Roman" w:hAnsi="Times New Roman" w:cs="Times New Roman"/>
          <w:bCs/>
        </w:rPr>
        <w:t xml:space="preserve">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w:t>
      </w:r>
      <w:r>
        <w:rPr>
          <w:rFonts w:ascii="Times New Roman" w:hAnsi="Times New Roman" w:cs="Times New Roman"/>
          <w:bCs/>
        </w:rPr>
        <w:t>e.g. extending to metagenomics;</w:t>
      </w:r>
      <w:r w:rsidR="00961D4F">
        <w:rPr>
          <w:rFonts w:ascii="Times New Roman" w:hAnsi="Times New Roman" w:cs="Times New Roman"/>
          <w:bCs/>
        </w:rPr>
        <w:t xml:space="preserve">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w:t>
      </w:r>
      <w:r w:rsidR="00E85E4D">
        <w:rPr>
          <w:rFonts w:ascii="Times New Roman" w:hAnsi="Times New Roman" w:cs="Times New Roman"/>
          <w:bCs/>
        </w:rPr>
        <w:lastRenderedPageBreak/>
        <w:t xml:space="preserve">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3"/>
      <w:r>
        <w:rPr>
          <w:rFonts w:ascii="Times New Roman" w:hAnsi="Times New Roman" w:cs="Times New Roman"/>
          <w:b/>
        </w:rPr>
        <w:lastRenderedPageBreak/>
        <w:t>Figures</w:t>
      </w:r>
      <w:commentRangeEnd w:id="3"/>
      <w:r w:rsidR="00AB3807">
        <w:rPr>
          <w:rStyle w:val="CommentReference"/>
        </w:rPr>
        <w:commentReference w:id="3"/>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1D8C4B9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t>
      </w:r>
      <w:r>
        <w:rPr>
          <w:rFonts w:ascii="Times New Roman" w:hAnsi="Times New Roman" w:cs="Times New Roman"/>
          <w:bCs/>
        </w:rPr>
        <w:lastRenderedPageBreak/>
        <w:t xml:space="preserve">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7EE43EC7" w:rsidR="006A6429" w:rsidRDefault="00035E15" w:rsidP="00035E15">
      <w:pPr>
        <w:rPr>
          <w:rFonts w:ascii="Times New Roman" w:hAnsi="Times New Roman" w:cs="Times New Roman"/>
          <w:bCs/>
        </w:rPr>
      </w:pPr>
      <w:r>
        <w:rPr>
          <w:rFonts w:ascii="Times New Roman" w:hAnsi="Times New Roman" w:cs="Times New Roman"/>
          <w:bCs/>
        </w:rPr>
        <w:t xml:space="preserve">Figure: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2111446"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77777777" w:rsidR="001E78EC"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w:t>
      </w:r>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ranked 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B11203" w:rsidR="00D06C49"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ranked 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1C0CD821" w14:textId="33CC3811" w:rsidR="00766DA3" w:rsidRDefault="00766DA3" w:rsidP="006F5A12">
      <w:pPr>
        <w:rPr>
          <w:rFonts w:ascii="Times New Roman" w:hAnsi="Times New Roman" w:cs="Times New Roman"/>
          <w:bCs/>
        </w:rPr>
      </w:pPr>
    </w:p>
    <w:p w14:paraId="3C8FA1FE" w14:textId="77777777" w:rsidR="00766DA3" w:rsidRPr="00035E15" w:rsidRDefault="00766DA3" w:rsidP="006F5A12">
      <w:pPr>
        <w:rPr>
          <w:rFonts w:ascii="Times New Roman" w:hAnsi="Times New Roman" w:cs="Times New Roman"/>
          <w:bCs/>
        </w:rPr>
      </w:pP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36032D83" w:rsidR="00AA0E5B" w:rsidRDefault="00766DA3"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2F5C7B1" wp14:editId="70ED0F47">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47A814FE" w14:textId="62E9D079" w:rsidR="00766DA3" w:rsidRPr="00766DA3" w:rsidRDefault="00766DA3" w:rsidP="006F5A12">
      <w:pPr>
        <w:rPr>
          <w:rFonts w:ascii="Times New Roman" w:hAnsi="Times New Roman" w:cs="Times New Roman"/>
          <w:bCs/>
        </w:rPr>
      </w:pPr>
      <w:r>
        <w:rPr>
          <w:rFonts w:ascii="Times New Roman" w:hAnsi="Times New Roman" w:cs="Times New Roman"/>
          <w:bCs/>
        </w:rPr>
        <w:t>Supp Figure (</w:t>
      </w:r>
      <w:commentRangeStart w:id="4"/>
      <w:r>
        <w:rPr>
          <w:rFonts w:ascii="Times New Roman" w:hAnsi="Times New Roman" w:cs="Times New Roman"/>
          <w:bCs/>
        </w:rPr>
        <w:t xml:space="preserve">alternative to above, potentially): </w:t>
      </w:r>
      <w:commentRangeEnd w:id="4"/>
      <w:r w:rsidR="002C6734">
        <w:rPr>
          <w:rStyle w:val="CommentReference"/>
        </w:rPr>
        <w:commentReference w:id="4"/>
      </w:r>
      <w:r>
        <w:rPr>
          <w:rFonts w:ascii="Times New Roman" w:hAnsi="Times New Roman" w:cs="Times New Roman"/>
          <w:bCs/>
        </w:rPr>
        <w:t xml:space="preserve">For natural environment consumers, per sample presence, abundance, and total richness of each diet family did not change with surface sterilization treatment. </w:t>
      </w: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15T15:30:00Z" w:initials="AMK">
    <w:p w14:paraId="492928DA" w14:textId="4527A73D" w:rsidR="00CB7B0A" w:rsidRDefault="00CB7B0A">
      <w:pPr>
        <w:pStyle w:val="CommentText"/>
      </w:pPr>
      <w:r>
        <w:rPr>
          <w:rStyle w:val="CommentReference"/>
        </w:rPr>
        <w:annotationRef/>
      </w:r>
      <w:r w:rsidR="00B21801">
        <w:t>Could also refer to this as</w:t>
      </w:r>
      <w:r>
        <w:t xml:space="preserve"> 0.5% sodium hypochlorite</w:t>
      </w:r>
    </w:p>
  </w:comment>
  <w:comment w:id="1" w:author="Ana Miller-Ter Kuile" w:date="2020-06-15T15:49:00Z" w:initials="AMK">
    <w:p w14:paraId="54D47FD0" w14:textId="515AC607" w:rsidR="00CB7B0A" w:rsidRDefault="00CB7B0A">
      <w:pPr>
        <w:pStyle w:val="CommentText"/>
      </w:pPr>
      <w:r>
        <w:rPr>
          <w:rStyle w:val="CommentReference"/>
        </w:rPr>
        <w:annotationRef/>
      </w:r>
      <w:r>
        <w:t xml:space="preserve">Austen: </w:t>
      </w:r>
      <w:r w:rsidR="00B21801">
        <w:t>better objectivity?</w:t>
      </w:r>
    </w:p>
  </w:comment>
  <w:comment w:id="2" w:author="Ana Miller-Ter Kuile" w:date="2020-06-16T10:17:00Z" w:initials="AMK">
    <w:p w14:paraId="53B79792" w14:textId="77777777" w:rsidR="00CB7B0A" w:rsidRDefault="00CB7B0A">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CB7B0A" w:rsidRDefault="00CB7B0A">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CB7B0A" w:rsidRDefault="00CB7B0A">
      <w:pPr>
        <w:pStyle w:val="CommentText"/>
      </w:pPr>
      <w:r>
        <w:t xml:space="preserve">I agree that thinking about degradation could be important when chemically removing contaminants from soft-bodied consumers, so I try to address some of these “next steps” in this paragraph. </w:t>
      </w:r>
    </w:p>
  </w:comment>
  <w:comment w:id="3" w:author="Ana Miller-Ter Kuile" w:date="2020-05-19T10:07:00Z" w:initials="AMK">
    <w:p w14:paraId="2972F583" w14:textId="6647F882" w:rsidR="00CB7B0A" w:rsidRDefault="00CB7B0A">
      <w:pPr>
        <w:pStyle w:val="CommentText"/>
      </w:pPr>
      <w:r>
        <w:rPr>
          <w:rStyle w:val="CommentReference"/>
        </w:rPr>
        <w:annotationRef/>
      </w:r>
      <w:r>
        <w:t xml:space="preserve">Comments on figure design and captions? </w:t>
      </w:r>
    </w:p>
  </w:comment>
  <w:comment w:id="4" w:author="Ana Miller-Ter Kuile" w:date="2020-06-16T11:14:00Z" w:initials="AMK">
    <w:p w14:paraId="046F7676" w14:textId="10F95F89" w:rsidR="00CB7B0A" w:rsidRDefault="00CB7B0A">
      <w:pPr>
        <w:pStyle w:val="CommentText"/>
      </w:pPr>
      <w:r>
        <w:rPr>
          <w:rStyle w:val="CommentReference"/>
        </w:rPr>
        <w:annotationRef/>
      </w:r>
      <w:r>
        <w:t xml:space="preserve">This is not abundance-sorted currently, but could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2928DA" w15:done="0"/>
  <w15:commentEx w15:paraId="54D47FD0" w15:done="0"/>
  <w15:commentEx w15:paraId="7C1655FB" w15:done="0"/>
  <w15:commentEx w15:paraId="2972F583" w15:done="0"/>
  <w15:commentEx w15:paraId="046F7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1279" w16cex:dateUtc="2020-06-15T20:30:00Z"/>
  <w16cex:commentExtensible w16cex:durableId="2292170A" w16cex:dateUtc="2020-06-15T20:49:00Z"/>
  <w16cex:commentExtensible w16cex:durableId="22931AA6" w16cex:dateUtc="2020-06-16T15:17:00Z"/>
  <w16cex:commentExtensible w16cex:durableId="226E2E67" w16cex:dateUtc="2020-05-19T15:07:00Z"/>
  <w16cex:commentExtensible w16cex:durableId="229327FE" w16cex:dateUtc="2020-06-1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2928DA" w16cid:durableId="22921279"/>
  <w16cid:commentId w16cid:paraId="54D47FD0" w16cid:durableId="2292170A"/>
  <w16cid:commentId w16cid:paraId="7C1655FB" w16cid:durableId="22931AA6"/>
  <w16cid:commentId w16cid:paraId="2972F583" w16cid:durableId="226E2E67"/>
  <w16cid:commentId w16cid:paraId="046F7676" w16cid:durableId="22932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C0AE6"/>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730B"/>
    <w:rsid w:val="006A05C4"/>
    <w:rsid w:val="006A0D87"/>
    <w:rsid w:val="006A6429"/>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1EEB"/>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1801"/>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27</Pages>
  <Words>7507</Words>
  <Characters>42792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51</cp:revision>
  <dcterms:created xsi:type="dcterms:W3CDTF">2020-06-15T19:59:00Z</dcterms:created>
  <dcterms:modified xsi:type="dcterms:W3CDTF">2020-06-16T20:49:00Z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