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F87794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data,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1"/>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1"/>
      <w:r w:rsidR="00DB200E">
        <w:rPr>
          <w:rStyle w:val="CommentReference"/>
        </w:rPr>
        <w:commentReference w:id="1"/>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3B1C7BAD"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Pr>
          <w:rFonts w:ascii="Times New Roman" w:hAnsi="Times New Roman" w:cs="Times New Roman"/>
          <w:bCs/>
        </w:rPr>
        <w:t xml:space="preserve"> In a contained mesocosm environment, we found </w:t>
      </w:r>
      <w:r>
        <w:rPr>
          <w:rFonts w:ascii="Times New Roman" w:hAnsi="Times New Roman" w:cs="Times New Roman"/>
          <w:bCs/>
        </w:rPr>
        <w:t xml:space="preserve">potential evidence </w:t>
      </w:r>
      <w:r>
        <w:rPr>
          <w:rFonts w:ascii="Times New Roman" w:hAnsi="Times New Roman" w:cs="Times New Roman"/>
          <w:bCs/>
        </w:rPr>
        <w:t>of</w:t>
      </w:r>
      <w:r>
        <w:rPr>
          <w:rFonts w:ascii="Times New Roman" w:hAnsi="Times New Roman" w:cs="Times New Roman"/>
          <w:bCs/>
        </w:rPr>
        <w:t xml:space="preserve"> contamination with a marginally significant reduction in detection of an offered diet item.</w:t>
      </w:r>
      <w:r>
        <w:rPr>
          <w:rFonts w:ascii="Times New Roman" w:hAnsi="Times New Roman" w:cs="Times New Roman"/>
          <w:bCs/>
        </w:rPr>
        <w:t xml:space="preserve"> This outcome suggests that some environments may </w:t>
      </w:r>
      <w:r>
        <w:rPr>
          <w:rFonts w:ascii="Times New Roman" w:hAnsi="Times New Roman" w:cs="Times New Roman"/>
          <w:bCs/>
        </w:rPr>
        <w:t>be more prone to surface contamination that could alter the ecological interpretations of diet metabarcoding studies</w:t>
      </w:r>
      <w:r>
        <w:rPr>
          <w:rFonts w:ascii="Times New Roman" w:hAnsi="Times New Roman" w:cs="Times New Roman"/>
          <w:bCs/>
        </w:rPr>
        <w:t>.</w:t>
      </w:r>
      <w:r w:rsidRPr="007D3244">
        <w:rPr>
          <w:rFonts w:ascii="Times New Roman" w:hAnsi="Times New Roman" w:cs="Times New Roman"/>
          <w:bCs/>
        </w:rPr>
        <w:t xml:space="preserve"> </w:t>
      </w:r>
      <w:r>
        <w:rPr>
          <w:rFonts w:ascii="Times New Roman" w:hAnsi="Times New Roman" w:cs="Times New Roman"/>
          <w:bCs/>
        </w:rPr>
        <w:t>Overall, our DNA metabarcoding protocol had a high rate of diet detection (74% with a fed diet item, 86% with natural-fed diet items), suggesting that this protocol has broad usage for other invertebrate consumers.</w:t>
      </w:r>
      <w:r w:rsidRPr="007D3244">
        <w:rPr>
          <w:rFonts w:ascii="Times New Roman" w:hAnsi="Times New Roman" w:cs="Times New Roman"/>
          <w:bCs/>
        </w:rPr>
        <w:t xml:space="preserve"> </w:t>
      </w:r>
      <w:r>
        <w:rPr>
          <w:rFonts w:ascii="Times New Roman" w:hAnsi="Times New Roman" w:cs="Times New Roman"/>
          <w:bCs/>
        </w:rPr>
        <w:t xml:space="preserve">Although diet DNA reads are relatively rare in this type of dataset </w:t>
      </w:r>
      <w:r>
        <w:rPr>
          <w:rFonts w:ascii="Times New Roman" w:hAnsi="Times New Roman" w:cs="Times New Roman"/>
          <w:bCs/>
        </w:rPr>
        <w:t>(0.</w:t>
      </w:r>
      <w:r w:rsidR="00AC0052">
        <w:rPr>
          <w:rFonts w:ascii="Times New Roman" w:hAnsi="Times New Roman" w:cs="Times New Roman"/>
          <w:bCs/>
        </w:rPr>
        <w:t>006</w:t>
      </w:r>
      <w:r>
        <w:rPr>
          <w:rFonts w:ascii="Times New Roman" w:hAnsi="Times New Roman" w:cs="Times New Roman"/>
          <w:bCs/>
        </w:rPr>
        <w:t xml:space="preserve"> – 2</w:t>
      </w:r>
      <w:r w:rsidR="00AC0052">
        <w:rPr>
          <w:rFonts w:ascii="Times New Roman" w:hAnsi="Times New Roman" w:cs="Times New Roman"/>
          <w:bCs/>
        </w:rPr>
        <w:t>6</w:t>
      </w:r>
      <w:r>
        <w:rPr>
          <w:rFonts w:ascii="Times New Roman" w:hAnsi="Times New Roman" w:cs="Times New Roman"/>
          <w:bCs/>
        </w:rPr>
        <w:t xml:space="preserve">% of the current dataset, similar to other studies;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Pr>
          <w:rFonts w:ascii="Times New Roman" w:hAnsi="Times New Roman" w:cs="Times New Roman"/>
          <w:bCs/>
        </w:rPr>
        <w:t xml:space="preserve">, </w:t>
      </w:r>
      <w:r w:rsidR="00AC0052">
        <w:rPr>
          <w:rFonts w:ascii="Times New Roman" w:hAnsi="Times New Roman" w:cs="Times New Roman"/>
          <w:bCs/>
        </w:rPr>
        <w:t xml:space="preserve">we were able to capture a diverse potential diet community (19 species for field consumers) and confidently attribute these DNA to diet items rather than environmental contamination. While surface contaminants seem fairly low-risk in both environmental contexts in this study, it is important to note that surface </w:t>
      </w:r>
      <w:r w:rsidR="00AC0052">
        <w:rPr>
          <w:rFonts w:ascii="Times New Roman" w:hAnsi="Times New Roman" w:cs="Times New Roman"/>
          <w:bCs/>
        </w:rPr>
        <w:t xml:space="preserve">sterilization did not decrease diet DNA detection, abundance, or richness in field-collected consumers (suggesting that sterilization method did not </w:t>
      </w:r>
      <w:r w:rsidR="00AC0052">
        <w:rPr>
          <w:rFonts w:ascii="Times New Roman" w:hAnsi="Times New Roman" w:cs="Times New Roman"/>
          <w:bCs/>
        </w:rPr>
        <w:t xml:space="preserve">introduce </w:t>
      </w:r>
      <w:r w:rsidR="00DE1B56">
        <w:rPr>
          <w:rFonts w:ascii="Times New Roman" w:hAnsi="Times New Roman" w:cs="Times New Roman"/>
          <w:bCs/>
        </w:rPr>
        <w:t>systematic relics in DNA extraction, amplification, or sequencing</w:t>
      </w:r>
      <w:r w:rsidR="00AC0052">
        <w:rPr>
          <w:rFonts w:ascii="Times New Roman" w:hAnsi="Times New Roman" w:cs="Times New Roman"/>
          <w:bCs/>
        </w:rPr>
        <w:t>)</w:t>
      </w:r>
      <w:r w:rsidR="00DE1B56">
        <w:rPr>
          <w:rFonts w:ascii="Times New Roman" w:hAnsi="Times New Roman" w:cs="Times New Roman"/>
          <w:bCs/>
        </w:rPr>
        <w:t xml:space="preserve">. This tied with our observation of possible contamination in a mesocosm environment suggests that </w:t>
      </w:r>
      <w:r w:rsidR="00AC0052">
        <w:rPr>
          <w:rFonts w:ascii="Times New Roman" w:hAnsi="Times New Roman" w:cs="Times New Roman"/>
          <w:bCs/>
        </w:rPr>
        <w:t>surface sterilization may be an appropriate conservative approach prior to any diet DNA metabarcoding study</w:t>
      </w:r>
      <w:r w:rsidR="00DE1B56">
        <w:rPr>
          <w:rFonts w:ascii="Times New Roman" w:hAnsi="Times New Roman" w:cs="Times New Roman"/>
          <w:bCs/>
        </w:rPr>
        <w:t>, especially because our extraction protocol consisted of a few (4-6) minutes of extra time per sample</w:t>
      </w:r>
      <w:r w:rsidR="00AC0052">
        <w:rPr>
          <w:rFonts w:ascii="Times New Roman" w:hAnsi="Times New Roman" w:cs="Times New Roman"/>
          <w:bCs/>
        </w:rPr>
        <w:t xml:space="preserve">. In any case, the diet data revealed in our dataset suggest a wide range of continued </w:t>
      </w:r>
      <w:r w:rsidR="00AC0052">
        <w:rPr>
          <w:rFonts w:ascii="Times New Roman" w:hAnsi="Times New Roman" w:cs="Times New Roman"/>
          <w:bCs/>
        </w:rPr>
        <w:lastRenderedPageBreak/>
        <w:t xml:space="preserve">and future applications for diet DNA metabarcoding studies across a range of environments (e.g. distinguishing consumption from fear responses; 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69835EBE" w14:textId="0469F759" w:rsidR="005D74B6"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w:t>
      </w:r>
      <w:r w:rsidR="00A96A33">
        <w:rPr>
          <w:rFonts w:ascii="Times New Roman" w:hAnsi="Times New Roman" w:cs="Times New Roman"/>
          <w:bCs/>
        </w:rPr>
        <w:t xml:space="preserve">(Doña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w:t>
      </w:r>
      <w:r w:rsidR="00A96A33">
        <w:rPr>
          <w:rFonts w:ascii="Times New Roman" w:hAnsi="Times New Roman" w:cs="Times New Roman"/>
          <w:bCs/>
        </w:rPr>
        <w:t xml:space="preserve">, </w:t>
      </w:r>
      <w:r w:rsidR="00A96A33">
        <w:rPr>
          <w:rFonts w:ascii="Times New Roman" w:hAnsi="Times New Roman" w:cs="Times New Roman"/>
          <w:bCs/>
        </w:rPr>
        <w:t>Jacobsen et al. 2018)</w:t>
      </w:r>
      <w:r>
        <w:rPr>
          <w:rFonts w:ascii="Times New Roman" w:hAnsi="Times New Roman" w:cs="Times New Roman"/>
          <w:bCs/>
        </w:rPr>
        <w:t xml:space="preserve">. </w:t>
      </w:r>
      <w:r w:rsidR="00F816D8">
        <w:rPr>
          <w:rFonts w:ascii="Times New Roman" w:hAnsi="Times New Roman" w:cs="Times New Roman"/>
          <w:bCs/>
        </w:rPr>
        <w:t>We demonstrate that surface sterilization may not be necessary in these types of studies in the future, but that the costs (in time, money, and data) 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are widespread </w:t>
      </w:r>
      <w:r w:rsidR="00B97760">
        <w:rPr>
          <w:rFonts w:ascii="Times New Roman" w:hAnsi="Times New Roman" w:cs="Times New Roman"/>
          <w:bCs/>
        </w:rPr>
        <w:t>on and in the surfaces of most environments and organisms (CITE) and so likely to contaminate studies targeting specific subgroups of fungal communities. Indeed, even in our dataset, many sequences matched to fungal reference sequences from both GenBank and BOLD (see data). The fact that these non-target fungal sequences did not alter our DNA metabarcoding data by hiding target potential diet DNA is likely due to the differences in biomass of these sources of DNA in our samples;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p>
    <w:p w14:paraId="154BA0E7" w14:textId="77777777" w:rsidR="005D74B6" w:rsidRDefault="005D74B6" w:rsidP="00B5655B">
      <w:pPr>
        <w:rPr>
          <w:rFonts w:ascii="Times New Roman" w:hAnsi="Times New Roman" w:cs="Times New Roman"/>
          <w:bCs/>
        </w:rPr>
      </w:pPr>
    </w:p>
    <w:p w14:paraId="2880664D" w14:textId="76BBA5FE"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p>
    <w:p w14:paraId="018FECD7" w14:textId="0F0E0DC7" w:rsidR="007F3DAE" w:rsidRDefault="00A37150" w:rsidP="007F3DAE">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w:t>
      </w:r>
      <w:r w:rsidR="007F3DAE">
        <w:rPr>
          <w:rFonts w:ascii="Times New Roman" w:hAnsi="Times New Roman" w:cs="Times New Roman"/>
          <w:bCs/>
        </w:rPr>
        <w:t xml:space="preserve">This outcome highlights that the decision to surface sterilize prior to DNA metabarcoding may matter more in some experimental set ups than others. For example, if a study is designed to understand the functional response of diet individuals or populations to consumer presence (e.g. Rudolf et al. 2014, </w:t>
      </w:r>
      <w:proofErr w:type="spellStart"/>
      <w:r w:rsidR="007F3DAE">
        <w:rPr>
          <w:rFonts w:ascii="Times New Roman" w:hAnsi="Times New Roman" w:cs="Times New Roman"/>
          <w:bCs/>
        </w:rPr>
        <w:t>Os</w:t>
      </w:r>
      <w:proofErr w:type="spellEnd"/>
      <w:r w:rsidR="007F3DAE">
        <w:rPr>
          <w:rFonts w:ascii="Times New Roman" w:hAnsi="Times New Roman" w:cs="Times New Roman"/>
          <w:bCs/>
        </w:rPr>
        <w:t xml:space="preserve"> Schmitz PAPERS, Carol Blanchette), then the distinction between altering the diet population via consumptive or non-consumptive effects (including killing but not ingesting) is less important than the key response, which is that a diet population changed (through loss of individuals, changes in population vital rates, or behavior) because of consumer presence. Conversely, if the study is designed to determine biomass of energy transfer, for example, in understanding how environmental variables (e.g. oxygen) or biotic variables (e.g. predator or diet size diversity) influence food web dynamics and nutrient cycling (e.g. </w:t>
      </w:r>
      <w:proofErr w:type="spellStart"/>
      <w:r w:rsidR="007F3DAE">
        <w:rPr>
          <w:rFonts w:ascii="Times New Roman" w:hAnsi="Times New Roman" w:cs="Times New Roman"/>
          <w:bCs/>
        </w:rPr>
        <w:t>Degerman</w:t>
      </w:r>
      <w:proofErr w:type="spellEnd"/>
      <w:r w:rsidR="007F3DAE">
        <w:rPr>
          <w:rFonts w:ascii="Times New Roman" w:hAnsi="Times New Roman" w:cs="Times New Roman"/>
          <w:bCs/>
        </w:rPr>
        <w:t xml:space="preserve"> et al. 2018, </w:t>
      </w:r>
      <w:proofErr w:type="spellStart"/>
      <w:r w:rsidR="007F3DAE">
        <w:rPr>
          <w:rFonts w:ascii="Times New Roman" w:hAnsi="Times New Roman" w:cs="Times New Roman"/>
          <w:bCs/>
        </w:rPr>
        <w:t>Kaunisto</w:t>
      </w:r>
      <w:proofErr w:type="spellEnd"/>
      <w:r w:rsidR="007F3DAE">
        <w:rPr>
          <w:rFonts w:ascii="Times New Roman" w:hAnsi="Times New Roman" w:cs="Times New Roman"/>
          <w:bCs/>
        </w:rPr>
        <w:t xml:space="preserve"> et al. 2020, </w:t>
      </w:r>
      <w:proofErr w:type="spellStart"/>
      <w:r w:rsidR="007F3DAE">
        <w:rPr>
          <w:rFonts w:ascii="Times New Roman" w:hAnsi="Times New Roman" w:cs="Times New Roman"/>
          <w:bCs/>
        </w:rPr>
        <w:t>Garcias</w:t>
      </w:r>
      <w:proofErr w:type="spellEnd"/>
      <w:r w:rsidR="007F3DAE">
        <w:rPr>
          <w:rFonts w:ascii="Times New Roman" w:hAnsi="Times New Roman" w:cs="Times New Roman"/>
          <w:bCs/>
        </w:rPr>
        <w:t>-Comas et al. 2016), then being able to validate consumption is key.</w:t>
      </w:r>
      <w:r w:rsidR="00F12563" w:rsidRPr="00F12563">
        <w:rPr>
          <w:rFonts w:ascii="Times New Roman" w:hAnsi="Times New Roman" w:cs="Times New Roman"/>
          <w:bCs/>
        </w:rPr>
        <w:t xml:space="preserve"> </w:t>
      </w:r>
      <w:r w:rsidR="00F12563">
        <w:rPr>
          <w:rFonts w:ascii="Times New Roman" w:hAnsi="Times New Roman" w:cs="Times New Roman"/>
          <w:bCs/>
        </w:rPr>
        <w:t xml:space="preserve">Mesocosms, either built or natural, are a </w:t>
      </w:r>
      <w:proofErr w:type="gramStart"/>
      <w:r w:rsidR="00F12563">
        <w:rPr>
          <w:rFonts w:ascii="Times New Roman" w:hAnsi="Times New Roman" w:cs="Times New Roman"/>
          <w:bCs/>
        </w:rPr>
        <w:t>widely-used</w:t>
      </w:r>
      <w:proofErr w:type="gramEnd"/>
      <w:r w:rsidR="00F12563">
        <w:rPr>
          <w:rFonts w:ascii="Times New Roman" w:hAnsi="Times New Roman" w:cs="Times New Roman"/>
          <w:bCs/>
        </w:rPr>
        <w:t xml:space="preserve"> type of environment in studies of consumptive interactions and DNA metabarcoding in any of these environments may benefit from surface sterilization </w:t>
      </w:r>
      <w:r w:rsidR="00F12563">
        <w:rPr>
          <w:rFonts w:ascii="Times New Roman" w:hAnsi="Times New Roman" w:cs="Times New Roman"/>
          <w:bCs/>
        </w:rPr>
        <w:t xml:space="preserve">(e.g. built mesocosms: Gao 2017, Rudolf et al. 2014; ponds, lakes, and natural microcosms: </w:t>
      </w:r>
      <w:proofErr w:type="spellStart"/>
      <w:r w:rsidR="00F12563">
        <w:rPr>
          <w:rFonts w:ascii="Times New Roman" w:hAnsi="Times New Roman" w:cs="Times New Roman"/>
          <w:bCs/>
        </w:rPr>
        <w:t>Srivistava</w:t>
      </w:r>
      <w:proofErr w:type="spellEnd"/>
      <w:r w:rsidR="00F12563">
        <w:rPr>
          <w:rFonts w:ascii="Times New Roman" w:hAnsi="Times New Roman" w:cs="Times New Roman"/>
          <w:bCs/>
        </w:rPr>
        <w:t xml:space="preserve"> et al. 2004, De </w:t>
      </w:r>
      <w:proofErr w:type="spellStart"/>
      <w:r w:rsidR="00F12563">
        <w:rPr>
          <w:rFonts w:ascii="Times New Roman" w:hAnsi="Times New Roman" w:cs="Times New Roman"/>
          <w:bCs/>
        </w:rPr>
        <w:t>Meester</w:t>
      </w:r>
      <w:proofErr w:type="spellEnd"/>
      <w:r w:rsidR="00F12563">
        <w:rPr>
          <w:rFonts w:ascii="Times New Roman" w:hAnsi="Times New Roman" w:cs="Times New Roman"/>
          <w:bCs/>
        </w:rPr>
        <w:t xml:space="preserve"> et al. 2005)</w:t>
      </w:r>
    </w:p>
    <w:p w14:paraId="24DB065D" w14:textId="77777777" w:rsidR="007F3DAE" w:rsidRDefault="007F3DAE" w:rsidP="00B5655B">
      <w:pPr>
        <w:rPr>
          <w:rFonts w:ascii="Times New Roman" w:hAnsi="Times New Roman" w:cs="Times New Roman"/>
          <w:bCs/>
        </w:rPr>
      </w:pPr>
    </w:p>
    <w:p w14:paraId="544168E5" w14:textId="6C62084F" w:rsidR="007F3DAE" w:rsidRDefault="007F3DAE" w:rsidP="00B5655B">
      <w:pPr>
        <w:rPr>
          <w:rFonts w:ascii="Times New Roman" w:hAnsi="Times New Roman" w:cs="Times New Roman"/>
          <w:bCs/>
        </w:rPr>
      </w:pPr>
    </w:p>
    <w:p w14:paraId="07E5A6DA" w14:textId="103EBF42" w:rsidR="007F3DAE" w:rsidRDefault="007F3DAE" w:rsidP="00B5655B">
      <w:pPr>
        <w:rPr>
          <w:rFonts w:ascii="Times New Roman" w:hAnsi="Times New Roman" w:cs="Times New Roman"/>
          <w:bCs/>
        </w:rPr>
      </w:pPr>
    </w:p>
    <w:p w14:paraId="523BF415" w14:textId="77777777" w:rsidR="007F3DAE" w:rsidRDefault="007F3DAE" w:rsidP="00B5655B">
      <w:pPr>
        <w:rPr>
          <w:rFonts w:ascii="Times New Roman" w:hAnsi="Times New Roman" w:cs="Times New Roman"/>
          <w:bCs/>
        </w:rPr>
      </w:pPr>
    </w:p>
    <w:p w14:paraId="743D6481" w14:textId="69DBD3A4" w:rsidR="00961867" w:rsidRPr="00B86C38" w:rsidRDefault="00961867" w:rsidP="000A7CEB">
      <w:pPr>
        <w:rPr>
          <w:rFonts w:ascii="Times New Roman" w:hAnsi="Times New Roman" w:cs="Times New Roman"/>
          <w:b/>
        </w:rPr>
      </w:pPr>
      <w:r w:rsidRPr="00B86C38">
        <w:rPr>
          <w:rFonts w:ascii="Times New Roman" w:hAnsi="Times New Roman" w:cs="Times New Roman"/>
          <w:b/>
        </w:rPr>
        <w:t>[</w:t>
      </w:r>
      <w:r w:rsidR="00F12563" w:rsidRPr="00B86C38">
        <w:rPr>
          <w:rFonts w:ascii="Times New Roman" w:hAnsi="Times New Roman" w:cs="Times New Roman"/>
          <w:b/>
        </w:rPr>
        <w:t>ways forward for thinking about surface sterilization yes/no</w:t>
      </w:r>
      <w:r w:rsidRPr="00B86C38">
        <w:rPr>
          <w:rFonts w:ascii="Times New Roman" w:hAnsi="Times New Roman" w:cs="Times New Roman"/>
          <w:b/>
        </w:rPr>
        <w:t>]</w:t>
      </w:r>
    </w:p>
    <w:p w14:paraId="267813EA" w14:textId="275F45B1" w:rsidR="00B86C38" w:rsidRDefault="00B86C38" w:rsidP="000A7CEB">
      <w:pPr>
        <w:rPr>
          <w:rFonts w:ascii="Times New Roman" w:hAnsi="Times New Roman" w:cs="Times New Roman"/>
          <w:bCs/>
        </w:rPr>
      </w:pPr>
      <w:r>
        <w:rPr>
          <w:rFonts w:ascii="Times New Roman" w:hAnsi="Times New Roman" w:cs="Times New Roman"/>
          <w:bCs/>
        </w:rPr>
        <w:t xml:space="preserve">We examined how environmental context might alter surface contamination and thus necessitate surface sterilization. </w:t>
      </w:r>
      <w:r w:rsidR="005A1A86">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w:t>
      </w:r>
      <w:r>
        <w:rPr>
          <w:rFonts w:ascii="Times New Roman" w:hAnsi="Times New Roman" w:cs="Times New Roman"/>
          <w:bCs/>
        </w:rPr>
        <w:t>a DNA metabarcoding diet study</w:t>
      </w:r>
      <w:r w:rsidR="00E506D8">
        <w:rPr>
          <w:rFonts w:ascii="Times New Roman" w:hAnsi="Times New Roman" w:cs="Times New Roman"/>
          <w:bCs/>
        </w:rPr>
        <w:t xml:space="preserve"> may lead to more or less chances of surface contamination.</w:t>
      </w:r>
      <w:r w:rsidR="002C05F5">
        <w:rPr>
          <w:rFonts w:ascii="Times New Roman" w:hAnsi="Times New Roman" w:cs="Times New Roman"/>
          <w:bCs/>
        </w:rPr>
        <w:t xml:space="preserve"> </w:t>
      </w:r>
      <w:r w:rsidR="006A05C4">
        <w:rPr>
          <w:rFonts w:ascii="Times New Roman" w:hAnsi="Times New Roman" w:cs="Times New Roman"/>
          <w:bCs/>
        </w:rPr>
        <w:t>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w:t>
      </w:r>
      <w:r w:rsidR="002C05F5">
        <w:rPr>
          <w:rFonts w:ascii="Times New Roman" w:hAnsi="Times New Roman" w:cs="Times New Roman"/>
          <w:bCs/>
        </w:rPr>
        <w:t xml:space="preserve"> and every study has environmental, ecological, and methodological aspects which may alter the likelihood of surface contaminants. </w:t>
      </w:r>
      <w:r w:rsidR="006A05C4">
        <w:rPr>
          <w:rFonts w:ascii="Times New Roman" w:hAnsi="Times New Roman" w:cs="Times New Roman"/>
          <w:bCs/>
        </w:rPr>
        <w:t>In aquatic and marine eDNA environments, some abiotic conditions are attributed to DNA persistence (e.g. pH and salinity; Collins et al. 2018</w:t>
      </w:r>
      <w:r>
        <w:rPr>
          <w:rFonts w:ascii="Times New Roman" w:hAnsi="Times New Roman" w:cs="Times New Roman"/>
          <w:bCs/>
        </w:rPr>
        <w:t>, Strickler et al. 2019</w:t>
      </w:r>
      <w:r w:rsidR="006A05C4">
        <w:rPr>
          <w:rFonts w:ascii="Times New Roman" w:hAnsi="Times New Roman" w:cs="Times New Roman"/>
          <w:bCs/>
        </w:rPr>
        <w:t xml:space="preserve">),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w:t>
      </w:r>
      <w:r>
        <w:rPr>
          <w:rFonts w:ascii="Times New Roman" w:hAnsi="Times New Roman" w:cs="Times New Roman"/>
          <w:bCs/>
        </w:rPr>
        <w:t>Ecological</w:t>
      </w:r>
      <w:r w:rsidR="00843C85">
        <w:rPr>
          <w:rFonts w:ascii="Times New Roman" w:hAnsi="Times New Roman" w:cs="Times New Roman"/>
          <w:bCs/>
        </w:rPr>
        <w:t xml:space="preserve">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w:t>
      </w:r>
      <w:r>
        <w:rPr>
          <w:rFonts w:ascii="Times New Roman" w:hAnsi="Times New Roman" w:cs="Times New Roman"/>
          <w:bCs/>
        </w:rPr>
        <w:t>contamination risk as well</w:t>
      </w:r>
      <w:r w:rsidR="00843C85">
        <w:rPr>
          <w:rFonts w:ascii="Times New Roman" w:hAnsi="Times New Roman" w:cs="Times New Roman"/>
          <w:bCs/>
        </w:rPr>
        <w:t xml:space="preserve">,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w:t>
      </w:r>
      <w:r w:rsidR="002C05F5">
        <w:rPr>
          <w:rFonts w:ascii="Times New Roman" w:hAnsi="Times New Roman" w:cs="Times New Roman"/>
          <w:bCs/>
        </w:rPr>
        <w:t xml:space="preserve"> and interaction frequency,</w:t>
      </w:r>
      <w:r w:rsidR="008D666D">
        <w:rPr>
          <w:rFonts w:ascii="Times New Roman" w:hAnsi="Times New Roman" w:cs="Times New Roman"/>
          <w:bCs/>
        </w:rPr>
        <w:t xml:space="preserve"> which can </w:t>
      </w:r>
      <w:r w:rsidR="002C05F5">
        <w:rPr>
          <w:rFonts w:ascii="Times New Roman" w:hAnsi="Times New Roman" w:cs="Times New Roman"/>
          <w:bCs/>
        </w:rPr>
        <w:t xml:space="preserve">alter contact probability and handling times as well as the likelihood that high-biomass contaminants will hide diet items that were consumed farther back in time </w:t>
      </w:r>
      <w:r w:rsidR="002C05F5">
        <w:rPr>
          <w:rFonts w:ascii="Times New Roman" w:hAnsi="Times New Roman" w:cs="Times New Roman"/>
          <w:bCs/>
        </w:rPr>
        <w:t xml:space="preserve">(Scharf et al. 1998, </w:t>
      </w:r>
      <w:proofErr w:type="spellStart"/>
      <w:r w:rsidR="002C05F5">
        <w:rPr>
          <w:rFonts w:ascii="Times New Roman" w:hAnsi="Times New Roman" w:cs="Times New Roman"/>
          <w:bCs/>
        </w:rPr>
        <w:t>Jeschke</w:t>
      </w:r>
      <w:proofErr w:type="spellEnd"/>
      <w:r w:rsidR="002C05F5">
        <w:rPr>
          <w:rFonts w:ascii="Times New Roman" w:hAnsi="Times New Roman" w:cs="Times New Roman"/>
          <w:bCs/>
        </w:rPr>
        <w:t xml:space="preserve"> et al. 2002, </w:t>
      </w:r>
      <w:proofErr w:type="spellStart"/>
      <w:r w:rsidR="002C05F5">
        <w:rPr>
          <w:rFonts w:ascii="Times New Roman" w:hAnsi="Times New Roman" w:cs="Times New Roman"/>
          <w:bCs/>
        </w:rPr>
        <w:t>Samu</w:t>
      </w:r>
      <w:proofErr w:type="spellEnd"/>
      <w:r w:rsidR="002C05F5">
        <w:rPr>
          <w:rFonts w:ascii="Times New Roman" w:hAnsi="Times New Roman" w:cs="Times New Roman"/>
          <w:bCs/>
        </w:rPr>
        <w:t xml:space="preserve"> and Biro 1993</w:t>
      </w:r>
      <w:r w:rsidR="002C05F5">
        <w:rPr>
          <w:rFonts w:ascii="Times New Roman" w:hAnsi="Times New Roman" w:cs="Times New Roman"/>
          <w:bCs/>
        </w:rPr>
        <w:t xml:space="preserve">, </w:t>
      </w:r>
      <w:proofErr w:type="spellStart"/>
      <w:r w:rsidR="002C05F5">
        <w:rPr>
          <w:rFonts w:ascii="Times New Roman" w:hAnsi="Times New Roman" w:cs="Times New Roman"/>
          <w:bCs/>
        </w:rPr>
        <w:t>Marcias</w:t>
      </w:r>
      <w:proofErr w:type="spellEnd"/>
      <w:r w:rsidR="002C05F5">
        <w:rPr>
          <w:rFonts w:ascii="Times New Roman" w:hAnsi="Times New Roman" w:cs="Times New Roman"/>
          <w:bCs/>
        </w:rPr>
        <w:t>-Hernandez et al.</w:t>
      </w:r>
      <w:r w:rsidR="002C05F5">
        <w:rPr>
          <w:rFonts w:ascii="Times New Roman" w:hAnsi="Times New Roman" w:cs="Times New Roman"/>
          <w:bCs/>
        </w:rPr>
        <w:t xml:space="preserve">, </w:t>
      </w:r>
      <w:r w:rsidR="002C05F5">
        <w:rPr>
          <w:rFonts w:ascii="Times New Roman" w:hAnsi="Times New Roman" w:cs="Times New Roman"/>
          <w:bCs/>
        </w:rPr>
        <w:t xml:space="preserve">Abrams and </w:t>
      </w:r>
      <w:proofErr w:type="spellStart"/>
      <w:r w:rsidR="002C05F5">
        <w:rPr>
          <w:rFonts w:ascii="Times New Roman" w:hAnsi="Times New Roman" w:cs="Times New Roman"/>
          <w:bCs/>
        </w:rPr>
        <w:t>Ginzberg</w:t>
      </w:r>
      <w:proofErr w:type="spellEnd"/>
      <w:r w:rsidR="002C05F5">
        <w:rPr>
          <w:rFonts w:ascii="Times New Roman" w:hAnsi="Times New Roman" w:cs="Times New Roman"/>
          <w:bCs/>
        </w:rPr>
        <w:t xml:space="preserve"> 2000).</w:t>
      </w:r>
      <w:r w:rsidR="002C05F5">
        <w:rPr>
          <w:rFonts w:ascii="Times New Roman" w:hAnsi="Times New Roman" w:cs="Times New Roman"/>
          <w:bCs/>
        </w:rPr>
        <w:t xml:space="preserve">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w:t>
      </w:r>
      <w:r w:rsidR="002C05F5">
        <w:rPr>
          <w:rFonts w:ascii="Times New Roman" w:hAnsi="Times New Roman" w:cs="Times New Roman"/>
          <w:bCs/>
        </w:rPr>
        <w:t>Determining which of the components of a study contribute to relatively low contamination risk could help build predictive frameworks of when surface sterilization may be necessary.</w:t>
      </w:r>
    </w:p>
    <w:p w14:paraId="2DA22DC2" w14:textId="7E576676" w:rsidR="00E14A8E" w:rsidRDefault="00E14A8E"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4"/>
      <w:r>
        <w:rPr>
          <w:rFonts w:ascii="Times New Roman" w:hAnsi="Times New Roman" w:cs="Times New Roman"/>
          <w:b/>
        </w:rPr>
        <w:lastRenderedPageBreak/>
        <w:t>Figures</w:t>
      </w:r>
      <w:commentRangeEnd w:id="4"/>
      <w:r w:rsidR="00AB3807">
        <w:rPr>
          <w:rStyle w:val="CommentReference"/>
        </w:rPr>
        <w:commentReference w:id="4"/>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18D74C3E"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commentRangeStart w:id="5"/>
      <w:r>
        <w:rPr>
          <w:rFonts w:ascii="Times New Roman" w:hAnsi="Times New Roman" w:cs="Times New Roman"/>
          <w:bCs/>
        </w:rPr>
        <w:t>Supp Figure</w:t>
      </w:r>
      <w:commentRangeEnd w:id="5"/>
      <w:r w:rsidR="000E5B8D">
        <w:rPr>
          <w:rStyle w:val="CommentReference"/>
        </w:rPr>
        <w:commentReference w:id="5"/>
      </w:r>
      <w:r>
        <w:rPr>
          <w:rFonts w:ascii="Times New Roman" w:hAnsi="Times New Roman" w:cs="Times New Roman"/>
          <w:bCs/>
        </w:rPr>
        <w:t xml:space="preserv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commentRangeStart w:id="6"/>
      <w:r>
        <w:rPr>
          <w:rFonts w:ascii="Times New Roman" w:hAnsi="Times New Roman" w:cs="Times New Roman"/>
          <w:bCs/>
        </w:rPr>
        <w:t xml:space="preserve">Supp Figure: </w:t>
      </w:r>
      <w:commentRangeEnd w:id="6"/>
      <w:r w:rsidR="000E5B8D">
        <w:rPr>
          <w:rStyle w:val="CommentReference"/>
        </w:rPr>
        <w:commentReference w:id="6"/>
      </w:r>
      <w:r>
        <w:rPr>
          <w:rFonts w:ascii="Times New Roman" w:hAnsi="Times New Roman" w:cs="Times New Roman"/>
          <w:bCs/>
        </w:rPr>
        <w:t xml:space="preserve">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5" w:author="Ana Miller-Ter Kuile" w:date="2020-06-01T16:17:00Z" w:initials="AMK">
    <w:p w14:paraId="1D940483" w14:textId="5CA88406" w:rsidR="000E5B8D" w:rsidRDefault="000E5B8D">
      <w:pPr>
        <w:pStyle w:val="CommentText"/>
      </w:pPr>
      <w:r>
        <w:rPr>
          <w:rStyle w:val="CommentReference"/>
        </w:rPr>
        <w:annotationRef/>
      </w:r>
      <w:r>
        <w:t xml:space="preserve">Insert abundance-sorted graph instead of alphabetical </w:t>
      </w:r>
    </w:p>
  </w:comment>
  <w:comment w:id="6" w:author="Ana Miller-Ter Kuile" w:date="2020-06-01T16:17:00Z" w:initials="AMK">
    <w:p w14:paraId="47DDC8EC" w14:textId="6156D7FF" w:rsidR="000E5B8D" w:rsidRDefault="000E5B8D">
      <w:pPr>
        <w:pStyle w:val="CommentText"/>
      </w:pPr>
      <w:r>
        <w:rPr>
          <w:rStyle w:val="CommentReference"/>
        </w:rPr>
        <w:annotationRef/>
      </w:r>
      <w:r>
        <w:t>Abundance-sorted graph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5E099403" w15:done="0"/>
  <w15:commentEx w15:paraId="011FBC11" w15:done="0"/>
  <w15:commentEx w15:paraId="76B6F74F" w15:done="0"/>
  <w15:commentEx w15:paraId="2972F583" w15:done="0"/>
  <w15:commentEx w15:paraId="1D940483" w15:done="0"/>
  <w15:commentEx w15:paraId="47DDC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48F" w16cex:dateUtc="2020-06-01T15:18:00Z"/>
  <w16cex:commentExtensible w16cex:durableId="226E2E67" w16cex:dateUtc="2020-05-19T15:07:00Z"/>
  <w16cex:commentExtensible w16cex:durableId="227FA888" w16cex:dateUtc="2020-06-01T21:17:00Z"/>
  <w16cex:commentExtensible w16cex:durableId="227FA89B" w16cex:dateUtc="2020-06-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5E099403" w16cid:durableId="227F548F"/>
  <w16cid:commentId w16cid:paraId="011FBC11" w16cid:durableId="2253CE3F"/>
  <w16cid:commentId w16cid:paraId="76B6F74F" w16cid:durableId="22540DFE"/>
  <w16cid:commentId w16cid:paraId="2972F583" w16cid:durableId="226E2E67"/>
  <w16cid:commentId w16cid:paraId="1D940483" w16cid:durableId="227FA888"/>
  <w16cid:commentId w16cid:paraId="47DDC8EC" w16cid:durableId="227FA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7721"/>
    <w:rsid w:val="001F0529"/>
    <w:rsid w:val="001F29D8"/>
    <w:rsid w:val="00203151"/>
    <w:rsid w:val="00203BAB"/>
    <w:rsid w:val="002054F2"/>
    <w:rsid w:val="002059A8"/>
    <w:rsid w:val="00207D77"/>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F0B55"/>
    <w:rsid w:val="00602643"/>
    <w:rsid w:val="00606BD6"/>
    <w:rsid w:val="00611BE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F0301"/>
    <w:rsid w:val="00DF0C61"/>
    <w:rsid w:val="00DF6B43"/>
    <w:rsid w:val="00DF7E0C"/>
    <w:rsid w:val="00E04419"/>
    <w:rsid w:val="00E055C4"/>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7777</Words>
  <Characters>44331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12</cp:revision>
  <dcterms:created xsi:type="dcterms:W3CDTF">2020-06-02T14:08:00Z</dcterms:created>
  <dcterms:modified xsi:type="dcterms:W3CDTF">2020-06-02T15:30:00Z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