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In many of these contexts, the small body size of these new consumers requires DNA extraction from full body parts, and so surface contamination could alter any measure of diet (consumption, abundance, diversity, and composition). Furthermore, this effect of surface contamination could matter more in some environments than others.</w:t>
      </w:r>
    </w:p>
    <w:p w14:paraId="71CBD14F" w14:textId="774A958C"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rates, abundance, diversity, and composition) in two different environments (mesocosm = offered a known diet item; natural = allowed to feed on naturally occurring diet items) with a group of invertebrate consumers for which we surface sterilized half using washes in 10%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marginal 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2CDC727B"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Surface contamination does not seem to be a pervasive challenge for DNA metabarcoding of full body parts of invertebrate consumers. However, our equivocal results in the mesocosm environment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76CBA4C1"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 xml:space="preserve">the field of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DFC1EFF" w:rsidR="00DD1D92" w:rsidRDefault="00C936B7" w:rsidP="0051400F">
      <w:pPr>
        <w:rPr>
          <w:rFonts w:ascii="Times New Roman" w:hAnsi="Times New Roman" w:cs="Times New Roman"/>
          <w:bCs/>
        </w:rPr>
      </w:pPr>
      <w:r>
        <w:rPr>
          <w:rFonts w:ascii="Times New Roman" w:hAnsi="Times New Roman" w:cs="Times New Roman"/>
          <w:bCs/>
        </w:rPr>
        <w:t xml:space="preserve">In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high cycling</w:t>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rate of consumption versus diversity of interactions)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small body size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3189D0B" w:rsidR="0051400F" w:rsidRPr="00A920FD" w:rsidRDefault="0051400F" w:rsidP="0051400F">
      <w:pPr>
        <w:rPr>
          <w:rFonts w:ascii="Times New Roman" w:hAnsi="Times New Roman" w:cs="Times New Roman"/>
          <w:bCs/>
        </w:rPr>
      </w:pPr>
      <w:r>
        <w:rPr>
          <w:rFonts w:ascii="Times New Roman" w:hAnsi="Times New Roman" w:cs="Times New Roman"/>
          <w:bCs/>
        </w:rPr>
        <w:t>In this study, we look at the effects of surface contamination and surface sterilization on our understanding of consumer diets where the DNA of full organisms is used in analyses. We use high throughput sequencing results of the CO</w:t>
      </w:r>
      <w:r w:rsidR="00A22B19">
        <w:rPr>
          <w:rFonts w:ascii="Times New Roman" w:hAnsi="Times New Roman" w:cs="Times New Roman"/>
          <w:bCs/>
        </w:rPr>
        <w:t>I</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w:t>
      </w:r>
      <w:r w:rsidR="009123B2">
        <w:rPr>
          <w:rFonts w:ascii="Times New Roman" w:hAnsi="Times New Roman" w:cs="Times New Roman"/>
          <w:bCs/>
        </w:rPr>
        <w:t xml:space="preserve">In each of these environments, we expected that the effects of surface contamination (and thus, surface sterilization) would depend on environmental context and the diet measure in question (e.g. consumption versus diversity). </w:t>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Our results suggest minimal to no significant impacts of surface contamination on diet detection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 xml:space="preserve">of surface contamination in any study or environment prior to broad-scale diet DNA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4ABE6E63"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AF5FF7C"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F87B7B0"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B7BD379"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0"/>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0"/>
      <w:r w:rsidR="00DB200E">
        <w:rPr>
          <w:rStyle w:val="CommentReference"/>
        </w:rPr>
        <w:commentReference w:id="0"/>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9F049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w:t>
      </w:r>
      <w:r>
        <w:rPr>
          <w:rFonts w:ascii="Times New Roman" w:hAnsi="Times New Roman" w:cs="Times New Roman"/>
          <w:bCs/>
        </w:rPr>
        <w:t xml:space="preserve">L </w:t>
      </w:r>
      <w:commentRangeStart w:id="1"/>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1"/>
      <w:r>
        <w:rPr>
          <w:rStyle w:val="CommentReference"/>
        </w:rPr>
        <w:commentReference w:id="1"/>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2"/>
      <w:r w:rsidR="00ED4C9B">
        <w:rPr>
          <w:rFonts w:ascii="Times New Roman" w:hAnsi="Times New Roman" w:cs="Times New Roman"/>
          <w:bCs/>
        </w:rPr>
        <w:t xml:space="preserve">analyses </w:t>
      </w:r>
      <w:commentRangeEnd w:id="2"/>
      <w:r w:rsidR="00E10921">
        <w:rPr>
          <w:rStyle w:val="CommentReference"/>
        </w:rPr>
        <w:commentReference w:id="2"/>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37A22016"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assessment above)</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lastRenderedPageBreak/>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75C352BD"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378AA3F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surface contamination, and thus, surface sterilization, 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w:t>
      </w:r>
      <w:r w:rsidR="006C6013">
        <w:rPr>
          <w:rFonts w:ascii="Times New Roman" w:hAnsi="Times New Roman" w:cs="Times New Roman"/>
          <w:bCs/>
        </w:rPr>
        <w:lastRenderedPageBreak/>
        <w:t xml:space="preserve">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7C05F6AA"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4B8DB775"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t>
      </w:r>
      <w:r w:rsidR="00A07E7A">
        <w:rPr>
          <w:rFonts w:ascii="Times New Roman" w:hAnsi="Times New Roman" w:cs="Times New Roman"/>
          <w:bCs/>
        </w:rPr>
        <w:t>this distribution was</w:t>
      </w:r>
      <w:r w:rsidR="00C7187F">
        <w:rPr>
          <w:rFonts w:ascii="Times New Roman" w:hAnsi="Times New Roman" w:cs="Times New Roman"/>
          <w:bCs/>
        </w:rPr>
        <w:t xml:space="preserv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 xml:space="preserve">all reads with a read abundance of one or more represent </w:t>
      </w:r>
      <w:r w:rsidR="00AA3E54">
        <w:rPr>
          <w:rFonts w:ascii="Times New Roman" w:hAnsi="Times New Roman" w:cs="Times New Roman"/>
          <w:bCs/>
        </w:rPr>
        <w:lastRenderedPageBreak/>
        <w:t>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5</w:t>
      </w:r>
      <w:r w:rsidR="00C34486">
        <w:rPr>
          <w:rFonts w:ascii="Times New Roman" w:hAnsi="Times New Roman" w:cs="Times New Roman"/>
          <w:bCs/>
        </w:rPr>
        <w: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4D25212"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73617530" w:rsidR="003E3BE4" w:rsidRDefault="008305F5" w:rsidP="00814E6D">
      <w:pPr>
        <w:rPr>
          <w:rFonts w:ascii="Times New Roman" w:hAnsi="Times New Roman" w:cs="Times New Roman"/>
          <w:bCs/>
        </w:rPr>
      </w:pPr>
      <w:r>
        <w:rPr>
          <w:rFonts w:ascii="Times New Roman" w:hAnsi="Times New Roman" w:cs="Times New Roman"/>
          <w:bCs/>
        </w:rPr>
        <w:t>Offered potential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A60773">
        <w:rPr>
          <w:rFonts w:ascii="Times New Roman" w:hAnsi="Times New Roman" w:cs="Times New Roman"/>
          <w:bCs/>
        </w:rPr>
        <w:t>1.0%</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5D754DF0"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74%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w:t>
      </w:r>
      <w:r w:rsidR="00460262">
        <w:rPr>
          <w:rFonts w:ascii="Times New Roman" w:hAnsi="Times New Roman" w:cs="Times New Roman"/>
          <w:bCs/>
        </w:rPr>
        <w:lastRenderedPageBreak/>
        <w:t>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diversity in DNA metabarcoding studies contrast with obvious surface 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23CFF71A" w14:textId="35BC10AD" w:rsidR="00736FB5" w:rsidRPr="009A37DF"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w:t>
      </w:r>
      <w:r w:rsidR="00DE57D1">
        <w:rPr>
          <w:rFonts w:ascii="Times New Roman" w:hAnsi="Times New Roman" w:cs="Times New Roman"/>
          <w:bCs/>
        </w:rPr>
        <w:lastRenderedPageBreak/>
        <w:t xml:space="preserve">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w:t>
      </w:r>
      <w:r>
        <w:rPr>
          <w:rFonts w:ascii="Times New Roman" w:hAnsi="Times New Roman" w:cs="Times New Roman"/>
          <w:bCs/>
        </w:rPr>
        <w:lastRenderedPageBreak/>
        <w:t xml:space="preserve">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3"/>
      <w:r>
        <w:rPr>
          <w:rFonts w:ascii="Times New Roman" w:hAnsi="Times New Roman" w:cs="Times New Roman"/>
          <w:b/>
        </w:rPr>
        <w:lastRenderedPageBreak/>
        <w:t>Figures</w:t>
      </w:r>
      <w:commentRangeEnd w:id="3"/>
      <w:r w:rsidR="00AB3807">
        <w:rPr>
          <w:rStyle w:val="CommentReference"/>
        </w:rPr>
        <w:commentReference w:id="3"/>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1"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2"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3"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099403" w15:done="0"/>
  <w15:commentEx w15:paraId="011FBC11" w15:done="0"/>
  <w15:commentEx w15:paraId="76B6F74F"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548F" w16cex:dateUtc="2020-06-01T15:18: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099403" w16cid:durableId="227F548F"/>
  <w16cid:commentId w16cid:paraId="011FBC11" w16cid:durableId="2253CE3F"/>
  <w16cid:commentId w16cid:paraId="76B6F74F" w16cid:durableId="22540DFE"/>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0CDD"/>
    <w:rsid w:val="000B7D9C"/>
    <w:rsid w:val="000D3852"/>
    <w:rsid w:val="000D7723"/>
    <w:rsid w:val="000D7DA1"/>
    <w:rsid w:val="000E5B8D"/>
    <w:rsid w:val="000F0FE7"/>
    <w:rsid w:val="000F16E2"/>
    <w:rsid w:val="000F1DE5"/>
    <w:rsid w:val="00106FCE"/>
    <w:rsid w:val="00114B35"/>
    <w:rsid w:val="00114E1C"/>
    <w:rsid w:val="0011566F"/>
    <w:rsid w:val="001207A7"/>
    <w:rsid w:val="001213F3"/>
    <w:rsid w:val="001222AE"/>
    <w:rsid w:val="00123AD3"/>
    <w:rsid w:val="00125BF4"/>
    <w:rsid w:val="00133BBF"/>
    <w:rsid w:val="00133DDC"/>
    <w:rsid w:val="001425DE"/>
    <w:rsid w:val="00144B28"/>
    <w:rsid w:val="00147D08"/>
    <w:rsid w:val="0015397E"/>
    <w:rsid w:val="00160297"/>
    <w:rsid w:val="00160B63"/>
    <w:rsid w:val="001658D1"/>
    <w:rsid w:val="00166764"/>
    <w:rsid w:val="00170EC9"/>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5EFD"/>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3574"/>
    <w:rsid w:val="00396A7D"/>
    <w:rsid w:val="003A298D"/>
    <w:rsid w:val="003A480B"/>
    <w:rsid w:val="003A492F"/>
    <w:rsid w:val="003A5031"/>
    <w:rsid w:val="003A6E4E"/>
    <w:rsid w:val="003B43D9"/>
    <w:rsid w:val="003C2E5A"/>
    <w:rsid w:val="003C37F6"/>
    <w:rsid w:val="003C3E1A"/>
    <w:rsid w:val="003D029A"/>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77E1"/>
    <w:rsid w:val="004B134E"/>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E5523"/>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76906"/>
    <w:rsid w:val="008877B8"/>
    <w:rsid w:val="00890B36"/>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123B2"/>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4A4E"/>
    <w:rsid w:val="00977993"/>
    <w:rsid w:val="009812BA"/>
    <w:rsid w:val="0098197D"/>
    <w:rsid w:val="009838C3"/>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A48"/>
    <w:rsid w:val="009C5F85"/>
    <w:rsid w:val="009D00FF"/>
    <w:rsid w:val="009D7295"/>
    <w:rsid w:val="009E71BB"/>
    <w:rsid w:val="009E7EEC"/>
    <w:rsid w:val="009F1CC9"/>
    <w:rsid w:val="009F3946"/>
    <w:rsid w:val="009F7C2F"/>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321F"/>
    <w:rsid w:val="00A84C2D"/>
    <w:rsid w:val="00A85FA9"/>
    <w:rsid w:val="00A86D3C"/>
    <w:rsid w:val="00A90916"/>
    <w:rsid w:val="00A9096C"/>
    <w:rsid w:val="00A920FD"/>
    <w:rsid w:val="00A92B55"/>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57D9F"/>
    <w:rsid w:val="00B61602"/>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D0325"/>
    <w:rsid w:val="00CD2A5D"/>
    <w:rsid w:val="00CD4548"/>
    <w:rsid w:val="00CE214D"/>
    <w:rsid w:val="00CE269D"/>
    <w:rsid w:val="00CE29FA"/>
    <w:rsid w:val="00CE60A0"/>
    <w:rsid w:val="00CF0533"/>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67AC6"/>
    <w:rsid w:val="00F708F0"/>
    <w:rsid w:val="00F75CD0"/>
    <w:rsid w:val="00F771E5"/>
    <w:rsid w:val="00F816D8"/>
    <w:rsid w:val="00F86929"/>
    <w:rsid w:val="00F90292"/>
    <w:rsid w:val="00F938D1"/>
    <w:rsid w:val="00F96821"/>
    <w:rsid w:val="00FA30E9"/>
    <w:rsid w:val="00FA6F03"/>
    <w:rsid w:val="00FA7004"/>
    <w:rsid w:val="00FA7560"/>
    <w:rsid w:val="00FA75F0"/>
    <w:rsid w:val="00FA7FED"/>
    <w:rsid w:val="00FB2C11"/>
    <w:rsid w:val="00FB58BB"/>
    <w:rsid w:val="00FB7614"/>
    <w:rsid w:val="00FC45EC"/>
    <w:rsid w:val="00FC76AF"/>
    <w:rsid w:val="00FD0BB8"/>
    <w:rsid w:val="00FD1461"/>
    <w:rsid w:val="00FD34F5"/>
    <w:rsid w:val="00FD778C"/>
    <w:rsid w:val="00FE26CE"/>
    <w:rsid w:val="00FE4311"/>
    <w:rsid w:val="00FE43A1"/>
    <w:rsid w:val="00FE5CBF"/>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25</Pages>
  <Words>7705</Words>
  <Characters>43923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34</cp:revision>
  <dcterms:created xsi:type="dcterms:W3CDTF">2020-06-02T19:36:00Z</dcterms:created>
  <dcterms:modified xsi:type="dcterms:W3CDTF">2020-06-03T14:52:00Z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