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1483216F" w14:textId="6F82AB74" w:rsidR="0051400F"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w:t>
      </w:r>
      <w:commentRangeStart w:id="1"/>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data,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1"/>
      <w:r w:rsidR="00D91AC6">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05A661B7" w14:textId="77777777" w:rsidR="0051400F" w:rsidRDefault="0051400F" w:rsidP="0051400F"/>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 </w:t>
      </w:r>
      <w:r w:rsidR="00091935">
        <w:rPr>
          <w:rFonts w:ascii="Times New Roman" w:hAnsi="Times New Roman" w:cs="Times New Roman"/>
          <w:bCs/>
        </w:rPr>
        <w:lastRenderedPageBreak/>
        <w:t>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
      <w:r w:rsidR="00DB200E">
        <w:rPr>
          <w:rStyle w:val="CommentReference"/>
        </w:rPr>
        <w:commentReference w:id="2"/>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t>
      </w:r>
      <w:r w:rsidR="00E17214" w:rsidRPr="00A9096C">
        <w:rPr>
          <w:rFonts w:ascii="Times New Roman" w:hAnsi="Times New Roman" w:cs="Times New Roman"/>
          <w:bCs/>
        </w:rPr>
        <w:lastRenderedPageBreak/>
        <w:t xml:space="preserve">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3"/>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3"/>
      <w:r>
        <w:rPr>
          <w:rStyle w:val="CommentReference"/>
        </w:rPr>
        <w:commentReference w:id="3"/>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w:t>
      </w:r>
      <w:r w:rsidR="00273017" w:rsidRPr="00A9096C">
        <w:rPr>
          <w:rFonts w:ascii="Times New Roman" w:hAnsi="Times New Roman" w:cs="Times New Roman"/>
          <w:bCs/>
        </w:rPr>
        <w:lastRenderedPageBreak/>
        <w:t xml:space="preserve">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4"/>
      <w:r w:rsidR="00ED4C9B">
        <w:rPr>
          <w:rFonts w:ascii="Times New Roman" w:hAnsi="Times New Roman" w:cs="Times New Roman"/>
          <w:bCs/>
        </w:rPr>
        <w:t xml:space="preserve">analyses </w:t>
      </w:r>
      <w:commentRangeEnd w:id="4"/>
      <w:r w:rsidR="00E10921">
        <w:rPr>
          <w:rStyle w:val="CommentReference"/>
        </w:rPr>
        <w:commentReference w:id="4"/>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 xml:space="preserve">our data for error that arises during </w:t>
      </w:r>
      <w:r w:rsidR="00D45426" w:rsidRPr="00A9096C">
        <w:rPr>
          <w:rFonts w:ascii="Times New Roman" w:hAnsi="Times New Roman" w:cs="Times New Roman"/>
          <w:bCs/>
        </w:rPr>
        <w:lastRenderedPageBreak/>
        <w:t>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t>
      </w:r>
      <w:r w:rsidR="006C6013">
        <w:rPr>
          <w:rFonts w:ascii="Times New Roman" w:hAnsi="Times New Roman" w:cs="Times New Roman"/>
          <w:bCs/>
        </w:rPr>
        <w:lastRenderedPageBreak/>
        <w:t xml:space="preserve">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 xml:space="preserve">Hypothesis 2: </w:t>
      </w:r>
      <w:r w:rsidRPr="00207D77">
        <w:rPr>
          <w:rFonts w:ascii="Times New Roman" w:hAnsi="Times New Roman" w:cs="Times New Roman"/>
          <w:bCs/>
          <w:i/>
          <w:iCs/>
        </w:rPr>
        <w:t>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e.g. 0.03 – 8.43 percent of all sequencing reads</w:t>
      </w:r>
      <w:r>
        <w:rPr>
          <w:rFonts w:ascii="Times New Roman" w:hAnsi="Times New Roman" w:cs="Times New Roman"/>
          <w:bCs/>
        </w:rPr>
        <w:t xml:space="preserve"> in one study</w:t>
      </w:r>
      <w:r>
        <w:rPr>
          <w:rFonts w:ascii="Times New Roman" w:hAnsi="Times New Roman" w:cs="Times New Roman"/>
          <w:bCs/>
        </w:rPr>
        <w:t xml:space="preserve">;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Pr>
          <w:rFonts w:ascii="Times New Roman" w:hAnsi="Times New Roman" w:cs="Times New Roman"/>
          <w:bCs/>
        </w:rPr>
        <w:t xml:space="preserve">),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w:t>
      </w:r>
      <w:r w:rsidR="004716BE">
        <w:rPr>
          <w:rFonts w:ascii="Times New Roman" w:hAnsi="Times New Roman" w:cs="Times New Roman"/>
          <w:bCs/>
        </w:rPr>
        <w:lastRenderedPageBreak/>
        <w:t>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w:t>
      </w:r>
      <w:commentRangeStart w:id="5"/>
      <w:r w:rsidR="008409DE">
        <w:rPr>
          <w:rFonts w:ascii="Times New Roman" w:hAnsi="Times New Roman" w:cs="Times New Roman"/>
          <w:bCs/>
        </w:rPr>
        <w:t>supplement</w:t>
      </w:r>
      <w:commentRangeEnd w:id="5"/>
      <w:r w:rsidR="008409DE">
        <w:rPr>
          <w:rStyle w:val="CommentReference"/>
        </w:rPr>
        <w:commentReference w:id="5"/>
      </w:r>
      <w:r w:rsidR="008409DE">
        <w:rPr>
          <w:rFonts w:ascii="Times New Roman" w:hAnsi="Times New Roman" w:cs="Times New Roman"/>
          <w:bCs/>
        </w:rPr>
        <w: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6"/>
      <w:r>
        <w:rPr>
          <w:rFonts w:ascii="Times New Roman" w:hAnsi="Times New Roman" w:cs="Times New Roman"/>
          <w:bCs/>
          <w:i/>
          <w:iCs/>
        </w:rPr>
        <w:t>De</w:t>
      </w:r>
      <w:commentRangeEnd w:id="6"/>
      <w:r w:rsidR="00405B05">
        <w:rPr>
          <w:rStyle w:val="CommentReference"/>
        </w:rPr>
        <w:commentReference w:id="6"/>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2572105"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lastRenderedPageBreak/>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lastRenderedPageBreak/>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7"/>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7"/>
      <w:r>
        <w:rPr>
          <w:rStyle w:val="CommentReference"/>
        </w:rPr>
        <w:commentReference w:id="7"/>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w:t>
      </w:r>
      <w:r w:rsidR="006A05C4">
        <w:rPr>
          <w:rFonts w:ascii="Times New Roman" w:hAnsi="Times New Roman" w:cs="Times New Roman"/>
          <w:bCs/>
        </w:rPr>
        <w:lastRenderedPageBreak/>
        <w:t xml:space="preserve">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w:t>
      </w:r>
      <w:r w:rsidR="00640EA4">
        <w:rPr>
          <w:rFonts w:ascii="Times New Roman" w:hAnsi="Times New Roman" w:cs="Times New Roman"/>
          <w:bCs/>
        </w:rPr>
        <w:lastRenderedPageBreak/>
        <w:t>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8"/>
      <w:r>
        <w:rPr>
          <w:rFonts w:ascii="Times New Roman" w:hAnsi="Times New Roman" w:cs="Times New Roman"/>
          <w:bCs/>
        </w:rPr>
        <w:t>The</w:t>
      </w:r>
      <w:commentRangeEnd w:id="8"/>
      <w:r w:rsidR="00183774">
        <w:rPr>
          <w:rStyle w:val="CommentReference"/>
        </w:rPr>
        <w:commentReference w:id="8"/>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lastRenderedPageBreak/>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w:t>
      </w:r>
      <w:r>
        <w:rPr>
          <w:rFonts w:ascii="Times New Roman" w:hAnsi="Times New Roman" w:cs="Times New Roman"/>
          <w:bCs/>
        </w:rPr>
        <w:lastRenderedPageBreak/>
        <w:t>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9"/>
      <w:r>
        <w:rPr>
          <w:rFonts w:ascii="Times New Roman" w:hAnsi="Times New Roman" w:cs="Times New Roman"/>
          <w:b/>
        </w:rPr>
        <w:lastRenderedPageBreak/>
        <w:t>Figures</w:t>
      </w:r>
      <w:commentRangeEnd w:id="9"/>
      <w:r w:rsidR="00AB3807">
        <w:rPr>
          <w:rStyle w:val="CommentReference"/>
        </w:rPr>
        <w:commentReference w:id="9"/>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77"/>
        <w:gridCol w:w="2143"/>
        <w:gridCol w:w="1523"/>
        <w:gridCol w:w="2402"/>
        <w:gridCol w:w="170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20191" w:rsidRDefault="00720191" w:rsidP="006F5A12">
            <w:pPr>
              <w:rPr>
                <w:rFonts w:ascii="Times New Roman" w:hAnsi="Times New Roman" w:cs="Times New Roman"/>
                <w:b/>
              </w:rPr>
            </w:pPr>
            <w:r w:rsidRPr="00720191">
              <w:rPr>
                <w:rFonts w:ascii="Times New Roman" w:hAnsi="Times New Roman" w:cs="Times New Roman"/>
                <w:b/>
              </w:rPr>
              <w:t>Surface sterilized</w:t>
            </w:r>
          </w:p>
        </w:tc>
        <w:tc>
          <w:tcPr>
            <w:tcW w:w="1530" w:type="dxa"/>
          </w:tcPr>
          <w:p w14:paraId="38B42F4D" w14:textId="77777777" w:rsidR="00720191" w:rsidRDefault="00720191" w:rsidP="006F5A12">
            <w:pPr>
              <w:rPr>
                <w:rFonts w:ascii="Times New Roman" w:hAnsi="Times New Roman" w:cs="Times New Roman"/>
                <w:bCs/>
              </w:rPr>
            </w:pPr>
          </w:p>
        </w:tc>
        <w:tc>
          <w:tcPr>
            <w:tcW w:w="2420" w:type="dxa"/>
          </w:tcPr>
          <w:p w14:paraId="73876A98" w14:textId="4DDAD481" w:rsidR="00720191" w:rsidRPr="00720191" w:rsidRDefault="00720191" w:rsidP="006F5A12">
            <w:pPr>
              <w:rPr>
                <w:rFonts w:ascii="Times New Roman" w:hAnsi="Times New Roman" w:cs="Times New Roman"/>
                <w:b/>
              </w:rPr>
            </w:pPr>
            <w:r w:rsidRPr="00720191">
              <w:rPr>
                <w:rFonts w:ascii="Times New Roman" w:hAnsi="Times New Roman" w:cs="Times New Roman"/>
                <w:b/>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20191" w:rsidRDefault="00720191" w:rsidP="006F5A12">
            <w:pPr>
              <w:rPr>
                <w:rFonts w:ascii="Times New Roman" w:hAnsi="Times New Roman" w:cs="Times New Roman"/>
                <w:b/>
                <w:i/>
                <w:iCs/>
              </w:rPr>
            </w:pPr>
            <w:r w:rsidRPr="00720191">
              <w:rPr>
                <w:rFonts w:ascii="Times New Roman" w:hAnsi="Times New Roman" w:cs="Times New Roman"/>
                <w:b/>
              </w:rPr>
              <w:t>Environment</w:t>
            </w:r>
          </w:p>
        </w:tc>
        <w:tc>
          <w:tcPr>
            <w:tcW w:w="2162" w:type="dxa"/>
          </w:tcPr>
          <w:p w14:paraId="0F271275" w14:textId="223A5FFA"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Extracted</w:t>
            </w:r>
          </w:p>
        </w:tc>
        <w:tc>
          <w:tcPr>
            <w:tcW w:w="1530" w:type="dxa"/>
          </w:tcPr>
          <w:p w14:paraId="018A6F4C" w14:textId="6B457FCC"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Amplified</w:t>
            </w:r>
          </w:p>
        </w:tc>
        <w:tc>
          <w:tcPr>
            <w:tcW w:w="2420" w:type="dxa"/>
          </w:tcPr>
          <w:p w14:paraId="68FBD783" w14:textId="4D4BC372"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Extracted</w:t>
            </w:r>
          </w:p>
        </w:tc>
        <w:tc>
          <w:tcPr>
            <w:tcW w:w="1715" w:type="dxa"/>
          </w:tcPr>
          <w:p w14:paraId="51079E21" w14:textId="54A1065E"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Amplified</w:t>
            </w:r>
          </w:p>
        </w:tc>
      </w:tr>
      <w:tr w:rsidR="00720191" w14:paraId="6CE9BA7B" w14:textId="2C4A2A90" w:rsidTr="00720191">
        <w:trPr>
          <w:trHeight w:val="98"/>
        </w:trPr>
        <w:tc>
          <w:tcPr>
            <w:tcW w:w="1523" w:type="dxa"/>
          </w:tcPr>
          <w:p w14:paraId="0E4F185E" w14:textId="5F554D89"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20191" w:rsidRDefault="00720191" w:rsidP="006F5A12">
            <w:pPr>
              <w:rPr>
                <w:rFonts w:ascii="Times New Roman" w:hAnsi="Times New Roman" w:cs="Times New Roman"/>
                <w:bCs/>
                <w:i/>
                <w:iCs/>
              </w:rPr>
            </w:pPr>
            <w:r w:rsidRPr="00720191">
              <w:rPr>
                <w:rFonts w:ascii="Times New Roman" w:hAnsi="Times New Roman" w:cs="Times New Roman"/>
                <w:bCs/>
                <w:i/>
                <w:i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07:00Z" w:initials="AMK">
    <w:p w14:paraId="04CDC3E7" w14:textId="4AC29012" w:rsidR="00D91AC6" w:rsidRDefault="00D91AC6">
      <w:pPr>
        <w:pStyle w:val="CommentText"/>
      </w:pPr>
      <w:r>
        <w:rPr>
          <w:rStyle w:val="CommentReference"/>
        </w:rPr>
        <w:annotationRef/>
      </w:r>
      <w:r>
        <w:t xml:space="preserve">Need to update these questions because the degradation question cannot be </w:t>
      </w:r>
      <w:proofErr w:type="spellStart"/>
      <w:r>
        <w:t>anwered</w:t>
      </w:r>
      <w:proofErr w:type="spellEnd"/>
      <w:r>
        <w:t xml:space="preserve"> with these data. </w:t>
      </w:r>
    </w:p>
  </w:comment>
  <w:comment w:id="2" w:author="Ana Miller-Ter Kuile" w:date="2020-06-01T10:18:00Z" w:initials="AMK">
    <w:p w14:paraId="5E099403" w14:textId="5437A30B" w:rsidR="00DB200E" w:rsidRDefault="00DB200E">
      <w:pPr>
        <w:pStyle w:val="CommentText"/>
      </w:pPr>
      <w:r>
        <w:rPr>
          <w:rStyle w:val="CommentReference"/>
        </w:rPr>
        <w:annotationRef/>
      </w:r>
      <w:r>
        <w:t>This was the bleach in the lab, not sure what its initial concentration was?</w:t>
      </w:r>
    </w:p>
  </w:comment>
  <w:comment w:id="3"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4"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5" w:author="Ana Miller-Ter Kuile" w:date="2020-05-28T11:02:00Z" w:initials="AMK">
    <w:p w14:paraId="0E0B1AE0" w14:textId="1A0B7D21" w:rsidR="008409DE" w:rsidRDefault="008409DE">
      <w:pPr>
        <w:pStyle w:val="CommentText"/>
      </w:pPr>
      <w:r>
        <w:rPr>
          <w:rStyle w:val="CommentReference"/>
        </w:rPr>
        <w:annotationRef/>
      </w:r>
      <w:r>
        <w:t>Add this supplementary figure</w:t>
      </w:r>
    </w:p>
  </w:comment>
  <w:comment w:id="6"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7"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8"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9"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04CDC3E7" w15:done="0"/>
  <w15:commentEx w15:paraId="5E099403" w15:done="0"/>
  <w15:commentEx w15:paraId="011FBC11" w15:done="0"/>
  <w15:commentEx w15:paraId="76B6F74F" w15:done="0"/>
  <w15:commentEx w15:paraId="0E0B1AE0"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1F4" w16cex:dateUtc="2020-06-01T15:07:00Z"/>
  <w16cex:commentExtensible w16cex:durableId="227F548F" w16cex:dateUtc="2020-06-01T15:18:00Z"/>
  <w16cex:commentExtensible w16cex:durableId="227A18B5" w16cex:dateUtc="2020-05-28T16:02: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04CDC3E7" w16cid:durableId="227F51F4"/>
  <w16cid:commentId w16cid:paraId="5E099403" w16cid:durableId="227F548F"/>
  <w16cid:commentId w16cid:paraId="011FBC11" w16cid:durableId="2253CE3F"/>
  <w16cid:commentId w16cid:paraId="76B6F74F" w16cid:durableId="22540DFE"/>
  <w16cid:commentId w16cid:paraId="0E0B1AE0" w16cid:durableId="227A18B5"/>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4F2"/>
    <w:rsid w:val="002059A8"/>
    <w:rsid w:val="00207D77"/>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0A64"/>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4148"/>
    <w:rsid w:val="00557883"/>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E3746"/>
    <w:rsid w:val="005F0B55"/>
    <w:rsid w:val="00602643"/>
    <w:rsid w:val="00606BD6"/>
    <w:rsid w:val="00611BE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46034"/>
    <w:rsid w:val="00950D74"/>
    <w:rsid w:val="00954A86"/>
    <w:rsid w:val="00961D4F"/>
    <w:rsid w:val="00962673"/>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4272"/>
    <w:rsid w:val="00DF0301"/>
    <w:rsid w:val="00DF0C61"/>
    <w:rsid w:val="00DF6B43"/>
    <w:rsid w:val="00DF7E0C"/>
    <w:rsid w:val="00E04419"/>
    <w:rsid w:val="00E055C4"/>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5CD0"/>
    <w:rsid w:val="00F771E5"/>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Pages>
  <Words>8410</Words>
  <Characters>47937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35</cp:revision>
  <dcterms:created xsi:type="dcterms:W3CDTF">2020-05-25T14:55:00Z</dcterms:created>
  <dcterms:modified xsi:type="dcterms:W3CDTF">2020-06-01T19:55:00Z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