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F50789" w14:textId="5B97C751" w:rsidR="0044605D" w:rsidRDefault="0044605D" w:rsidP="0040503F">
      <w:pPr>
        <w:rPr>
          <w:rFonts w:ascii="Times New Roman" w:hAnsi="Times New Roman" w:cs="Times New Roman"/>
        </w:rPr>
      </w:pPr>
      <w:r>
        <w:rPr>
          <w:rFonts w:ascii="Times New Roman" w:hAnsi="Times New Roman" w:cs="Times New Roman"/>
        </w:rPr>
        <w:t xml:space="preserve">Working Author list: Ana </w:t>
      </w:r>
      <w:proofErr w:type="spellStart"/>
      <w:r>
        <w:rPr>
          <w:rFonts w:ascii="Times New Roman" w:hAnsi="Times New Roman" w:cs="Times New Roman"/>
        </w:rPr>
        <w:t>Miller-ter</w:t>
      </w:r>
      <w:proofErr w:type="spellEnd"/>
      <w:r>
        <w:rPr>
          <w:rFonts w:ascii="Times New Roman" w:hAnsi="Times New Roman" w:cs="Times New Roman"/>
        </w:rPr>
        <w:t xml:space="preserve"> Kuile, Austen </w:t>
      </w:r>
      <w:proofErr w:type="spellStart"/>
      <w:r>
        <w:rPr>
          <w:rFonts w:ascii="Times New Roman" w:hAnsi="Times New Roman" w:cs="Times New Roman"/>
        </w:rPr>
        <w:t>Apigo</w:t>
      </w:r>
      <w:proofErr w:type="spellEnd"/>
      <w:r>
        <w:rPr>
          <w:rFonts w:ascii="Times New Roman" w:hAnsi="Times New Roman" w:cs="Times New Roman"/>
        </w:rPr>
        <w:t xml:space="preserve">, Bart DiFiore, </w:t>
      </w:r>
      <w:proofErr w:type="gramStart"/>
      <w:r>
        <w:rPr>
          <w:rFonts w:ascii="Times New Roman" w:hAnsi="Times New Roman" w:cs="Times New Roman"/>
        </w:rPr>
        <w:t>An</w:t>
      </w:r>
      <w:proofErr w:type="gramEnd"/>
      <w:r>
        <w:rPr>
          <w:rFonts w:ascii="Times New Roman" w:hAnsi="Times New Roman" w:cs="Times New Roman"/>
        </w:rPr>
        <w:t xml:space="preserve"> Bui</w:t>
      </w:r>
      <w:r w:rsidR="00E70F3B">
        <w:rPr>
          <w:rFonts w:ascii="Times New Roman" w:hAnsi="Times New Roman" w:cs="Times New Roman"/>
        </w:rPr>
        <w:t xml:space="preserve">, </w:t>
      </w:r>
      <w:r>
        <w:rPr>
          <w:rFonts w:ascii="Times New Roman" w:hAnsi="Times New Roman" w:cs="Times New Roman"/>
        </w:rPr>
        <w:t xml:space="preserve">Daniel Preston, </w:t>
      </w:r>
      <w:r w:rsidR="004E7FA1">
        <w:rPr>
          <w:rFonts w:ascii="Times New Roman" w:hAnsi="Times New Roman" w:cs="Times New Roman"/>
        </w:rPr>
        <w:t xml:space="preserve">Elizabeth Forbes, </w:t>
      </w:r>
      <w:r w:rsidR="00E70F3B">
        <w:rPr>
          <w:rFonts w:ascii="Times New Roman" w:hAnsi="Times New Roman" w:cs="Times New Roman"/>
        </w:rPr>
        <w:t xml:space="preserve">Carina Motta, Michelle Lee, </w:t>
      </w:r>
      <w:r>
        <w:rPr>
          <w:rFonts w:ascii="Times New Roman" w:hAnsi="Times New Roman" w:cs="Times New Roman"/>
        </w:rPr>
        <w:t>John McLaughlin,</w:t>
      </w:r>
      <w:r w:rsidR="00E70F3B">
        <w:rPr>
          <w:rFonts w:ascii="Times New Roman" w:hAnsi="Times New Roman" w:cs="Times New Roman"/>
        </w:rPr>
        <w:t xml:space="preserve"> Kevin Lafferty,</w:t>
      </w:r>
      <w:r>
        <w:rPr>
          <w:rFonts w:ascii="Times New Roman" w:hAnsi="Times New Roman" w:cs="Times New Roman"/>
        </w:rPr>
        <w:t xml:space="preserve"> Hillary Young</w:t>
      </w:r>
    </w:p>
    <w:p w14:paraId="57F18CF3" w14:textId="68B928CE" w:rsidR="0044605D" w:rsidRDefault="0044605D" w:rsidP="0040503F">
      <w:pPr>
        <w:rPr>
          <w:rFonts w:ascii="Times New Roman" w:hAnsi="Times New Roman" w:cs="Times New Roman"/>
        </w:rPr>
      </w:pPr>
    </w:p>
    <w:p w14:paraId="2B64032A" w14:textId="1FA318A4" w:rsidR="0044605D" w:rsidRDefault="0044605D" w:rsidP="0040503F">
      <w:pPr>
        <w:rPr>
          <w:rFonts w:ascii="Times New Roman" w:hAnsi="Times New Roman" w:cs="Times New Roman"/>
        </w:rPr>
      </w:pPr>
      <w:r>
        <w:rPr>
          <w:rFonts w:ascii="Times New Roman" w:hAnsi="Times New Roman" w:cs="Times New Roman"/>
        </w:rPr>
        <w:t xml:space="preserve">Field: Jasmine Childress, Katie </w:t>
      </w:r>
      <w:r w:rsidR="00477419">
        <w:rPr>
          <w:rFonts w:ascii="Times New Roman" w:hAnsi="Times New Roman" w:cs="Times New Roman"/>
        </w:rPr>
        <w:t>Plummer</w:t>
      </w:r>
      <w:r w:rsidR="004E7FA1">
        <w:rPr>
          <w:rFonts w:ascii="Times New Roman" w:hAnsi="Times New Roman" w:cs="Times New Roman"/>
        </w:rPr>
        <w:t xml:space="preserve">, </w:t>
      </w:r>
      <w:r w:rsidR="004144A6">
        <w:rPr>
          <w:rFonts w:ascii="Times New Roman" w:hAnsi="Times New Roman" w:cs="Times New Roman"/>
        </w:rPr>
        <w:t xml:space="preserve">Rodolfo </w:t>
      </w:r>
      <w:proofErr w:type="spellStart"/>
      <w:r w:rsidR="004144A6">
        <w:rPr>
          <w:rFonts w:ascii="Times New Roman" w:hAnsi="Times New Roman" w:cs="Times New Roman"/>
        </w:rPr>
        <w:t>Dirzo</w:t>
      </w:r>
      <w:proofErr w:type="spellEnd"/>
      <w:r w:rsidR="004144A6">
        <w:rPr>
          <w:rFonts w:ascii="Times New Roman" w:hAnsi="Times New Roman" w:cs="Times New Roman"/>
        </w:rPr>
        <w:t xml:space="preserve">, </w:t>
      </w:r>
      <w:r w:rsidR="00E70F3B">
        <w:rPr>
          <w:rFonts w:ascii="Times New Roman" w:hAnsi="Times New Roman" w:cs="Times New Roman"/>
        </w:rPr>
        <w:t xml:space="preserve">David Weber, Maggie </w:t>
      </w:r>
      <w:proofErr w:type="spellStart"/>
      <w:r w:rsidR="00E70F3B">
        <w:rPr>
          <w:rFonts w:ascii="Times New Roman" w:hAnsi="Times New Roman" w:cs="Times New Roman"/>
        </w:rPr>
        <w:t>Klope</w:t>
      </w:r>
      <w:proofErr w:type="spellEnd"/>
      <w:r w:rsidR="00E70F3B">
        <w:rPr>
          <w:rFonts w:ascii="Times New Roman" w:hAnsi="Times New Roman" w:cs="Times New Roman"/>
        </w:rPr>
        <w:t xml:space="preserve">, Cora Johnston, Taylor </w:t>
      </w:r>
      <w:proofErr w:type="spellStart"/>
      <w:r w:rsidR="00E70F3B">
        <w:rPr>
          <w:rFonts w:ascii="Times New Roman" w:hAnsi="Times New Roman" w:cs="Times New Roman"/>
        </w:rPr>
        <w:t>Bogar</w:t>
      </w:r>
      <w:proofErr w:type="spellEnd"/>
      <w:r w:rsidR="00E70F3B">
        <w:rPr>
          <w:rFonts w:ascii="Times New Roman" w:hAnsi="Times New Roman" w:cs="Times New Roman"/>
        </w:rPr>
        <w:t xml:space="preserve">, </w:t>
      </w:r>
      <w:proofErr w:type="spellStart"/>
      <w:r w:rsidR="00E70F3B">
        <w:rPr>
          <w:rFonts w:ascii="Times New Roman" w:hAnsi="Times New Roman" w:cs="Times New Roman"/>
        </w:rPr>
        <w:t>Magalay</w:t>
      </w:r>
      <w:proofErr w:type="spellEnd"/>
      <w:r w:rsidR="00E70F3B">
        <w:rPr>
          <w:rFonts w:ascii="Times New Roman" w:hAnsi="Times New Roman" w:cs="Times New Roman"/>
        </w:rPr>
        <w:t xml:space="preserve"> Espinoza</w:t>
      </w:r>
    </w:p>
    <w:p w14:paraId="094FFA83" w14:textId="5C4A1BFA" w:rsidR="00E70F3B" w:rsidRDefault="00E70F3B" w:rsidP="0040503F">
      <w:pPr>
        <w:rPr>
          <w:rFonts w:ascii="Times New Roman" w:hAnsi="Times New Roman" w:cs="Times New Roman"/>
        </w:rPr>
      </w:pPr>
    </w:p>
    <w:p w14:paraId="22201BFD" w14:textId="3D2F2B36" w:rsidR="00E70F3B" w:rsidRDefault="00E70F3B" w:rsidP="0040503F">
      <w:pPr>
        <w:rPr>
          <w:rFonts w:ascii="Times New Roman" w:hAnsi="Times New Roman" w:cs="Times New Roman"/>
        </w:rPr>
      </w:pPr>
      <w:r>
        <w:rPr>
          <w:rFonts w:ascii="Times New Roman" w:hAnsi="Times New Roman" w:cs="Times New Roman"/>
        </w:rPr>
        <w:t>Lab: Ronny Young – others?</w:t>
      </w:r>
    </w:p>
    <w:p w14:paraId="76C7FEE5" w14:textId="77777777" w:rsidR="0044605D" w:rsidRDefault="0044605D" w:rsidP="0040503F">
      <w:pPr>
        <w:rPr>
          <w:rFonts w:ascii="Times New Roman" w:hAnsi="Times New Roman" w:cs="Times New Roman"/>
        </w:rPr>
      </w:pPr>
    </w:p>
    <w:p w14:paraId="523B1992" w14:textId="592EE304" w:rsidR="00C50180" w:rsidRPr="0040503F" w:rsidRDefault="00063340" w:rsidP="0040503F">
      <w:pPr>
        <w:rPr>
          <w:rFonts w:ascii="Times New Roman" w:hAnsi="Times New Roman" w:cs="Times New Roman"/>
        </w:rPr>
      </w:pPr>
      <w:r w:rsidRPr="0040503F">
        <w:rPr>
          <w:rFonts w:ascii="Times New Roman" w:hAnsi="Times New Roman" w:cs="Times New Roman"/>
        </w:rPr>
        <w:t>Methods:</w:t>
      </w:r>
    </w:p>
    <w:p w14:paraId="43AA19F6" w14:textId="77777777" w:rsidR="0040503F" w:rsidRPr="0040503F" w:rsidRDefault="0040503F" w:rsidP="0040503F">
      <w:pPr>
        <w:rPr>
          <w:rFonts w:ascii="Times New Roman" w:hAnsi="Times New Roman" w:cs="Times New Roman"/>
        </w:rPr>
      </w:pPr>
    </w:p>
    <w:p w14:paraId="7D3CD107" w14:textId="77777777" w:rsidR="00DD2339" w:rsidRPr="0040503F" w:rsidRDefault="00DD2339" w:rsidP="0040503F">
      <w:pPr>
        <w:rPr>
          <w:rFonts w:ascii="Times New Roman" w:hAnsi="Times New Roman" w:cs="Times New Roman"/>
          <w:bCs/>
          <w:i/>
          <w:iCs/>
        </w:rPr>
      </w:pPr>
      <w:r w:rsidRPr="0040503F">
        <w:rPr>
          <w:rFonts w:ascii="Times New Roman" w:hAnsi="Times New Roman" w:cs="Times New Roman"/>
          <w:bCs/>
          <w:i/>
          <w:iCs/>
        </w:rPr>
        <w:t>Field site and collections</w:t>
      </w:r>
    </w:p>
    <w:p w14:paraId="2F52638C" w14:textId="2472B5B6" w:rsidR="00DD2339" w:rsidRDefault="00DD2339" w:rsidP="0040503F">
      <w:pPr>
        <w:rPr>
          <w:rFonts w:ascii="Times New Roman" w:hAnsi="Times New Roman" w:cs="Times New Roman"/>
          <w:bCs/>
        </w:rPr>
      </w:pPr>
      <w:r w:rsidRPr="0040503F">
        <w:rPr>
          <w:rFonts w:ascii="Times New Roman" w:hAnsi="Times New Roman" w:cs="Times New Roman"/>
          <w:bCs/>
        </w:rPr>
        <w:t xml:space="preserve">We conducted this work on Palmyra Atoll National Wildlife Refuge, Northern Line Islands (5º53’ N, 162º05’W). Palmyra Atoll has a well-characterized species list, and like many atolls, is relatively species poor, allowing for characterization of potential diet items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10.2984/1534-6188(2007)61","ISBN":"0030-8870","ISSN":"0030-8870","author":[{"dropping-particle":"","family":"Handler","given":"Alex","non-dropping-particle":"","parse-names":false,"suffix":""},{"dropping-particle":"","family":"Gruner","given":"Daniel","non-dropping-particle":"","parse-names":false,"suffix":""},{"dropping-particle":"","family":"Haines","given":"William","non-dropping-particle":"","parse-names":false,"suffix":""},{"dropping-particle":"","family":"Lange","given":"Matthew","non-dropping-particle":"","parse-names":false,"suffix":""},{"dropping-particle":"","family":"Kaneshiro","given":"Kenneth","non-dropping-particle":"","parse-names":false,"suffix":""}],"container-title":"Pacific Science","id":"ITEM-1","issue":"4","issued":{"date-parts":[["2007"]]},"page":"485-502","title":"Arthropod surveys on Palmyra Atoll, Line Islands, and insights into the decline of the native tree Pisonia grandis (Nyctaginaceae)","type":"article-journal","volume":"61"},"uris":["http://www.mendeley.com/documents/?uuid=100c5232-e580-459d-9e60-6d3ca14a6fec"]}],"mendeley":{"formattedCitation":"(Handler et al., 2007)","plainTextFormattedCitation":"(Handler et al., 2007)","previouslyFormattedCitation":"(Handler et al., 2007)"},"properties":{"noteIndex":0},"schema":"https://github.com/citation-style-language/schema/raw/master/csl-citation.json"}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(Handler et al., 2007)</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 xml:space="preserve">Predator individuals were collected across habitat types on the atoll, including different forest types and microhabitats, including understory vegetation, canopy vegetation, and soil habitats (supplementary summary table of habitats). For each of these habitats, we used a combination of methods, including individual collection during visual surveys for understory and soil collections and canopy fogging with insecticide (cite) onto collection sheets for canopy individuals. </w:t>
      </w:r>
      <w:r w:rsidRPr="0040503F">
        <w:rPr>
          <w:rFonts w:ascii="Times New Roman" w:hAnsi="Times New Roman" w:cs="Times New Roman"/>
          <w:bCs/>
        </w:rPr>
        <w:t>All individuals were collected individually</w:t>
      </w:r>
      <w:r w:rsidR="0040503F">
        <w:rPr>
          <w:rFonts w:ascii="Times New Roman" w:hAnsi="Times New Roman" w:cs="Times New Roman"/>
          <w:bCs/>
        </w:rPr>
        <w:t xml:space="preserve"> with sterilized implements (ethanol-burned forceps)</w:t>
      </w:r>
      <w:r w:rsidRPr="0040503F">
        <w:rPr>
          <w:rFonts w:ascii="Times New Roman" w:hAnsi="Times New Roman" w:cs="Times New Roman"/>
          <w:bCs/>
        </w:rPr>
        <w:t xml:space="preserve"> in sterilized collection containers</w:t>
      </w:r>
      <w:r w:rsidR="004E7FA1">
        <w:rPr>
          <w:rFonts w:ascii="Times New Roman" w:hAnsi="Times New Roman" w:cs="Times New Roman"/>
          <w:bCs/>
        </w:rPr>
        <w:t xml:space="preserve"> containing 85% EtOH</w:t>
      </w:r>
      <w:r w:rsidRPr="0040503F">
        <w:rPr>
          <w:rFonts w:ascii="Times New Roman" w:hAnsi="Times New Roman" w:cs="Times New Roman"/>
          <w:bCs/>
        </w:rPr>
        <w:t xml:space="preserve"> to avoid contamination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{"citationItems":[{"id":"ITEM-1","itemData":{"DOI":"10.1111/j.1755-0998.2010.02922.x","ISSN":"1755098X","abstract":"Molecular gut-content analysis enables detection of arthropod predation with minimal disruption of ecosystem processes. Mass-collection methods, such as sweep-netting, vacuum sampling and foliage beating, could lead to regurgitation or rupturing of predators along with uneaten prey, thereby contaminating specimens and compromising resultant gut-content data. Proponents of this 'cross-contamination hypothesis' advocate hand-collection as the best way to avoid cross-contamination. However, hand-collection is inefficient when large samples are needed, as with most ecological research. We tested the cross-contamination hypothesis by setting out onto potato plants immature Coleomegilla maculata and Podisus maculiventris that had been fed larvae of either Leptinotarsa decemlineata or Leptinotarsa juncta, or unfed individuals of these predator species along with L. decemlineata larvae. The animals were then immediately re-collected, either by knocking them vigorously off the plants onto a beat cloth and capturing them en masse with an aspirator ('rough' treatment) or by hand-searching and collection with a brush ('best practice'). Collected predators were transferred in the field to individual vials of chilled ethanol and subsequently assayed by PCR for fragments of cytochrome oxidase I of L. decemlineata and L. juncta. Ten to 39 per cent of re-collected fed predators tested positive by PCR for DNA of both Leptinotarsa species, and 14-38% of re-collected unfed predators contained L. decemlineata DNA. Overall levels of cross-contamination in the rough (31%) and best-practice (11%) samples were statistically different and supported the cross-contamination hypothesis. A pilot study on eliminating external DNA contamination with bleach prior to DNA extraction and amplification gave promising results. Published 2010. This article is a US Government work and is in the public domain in the USA.","author":[{"dropping-particle":"","family":"Greenstone","given":"Matthew H.","non-dropping-particle":"","parse-names":false,"suffix":""},{"dropping-particle":"","family":"Weber","given":"Donald C.","non-dropping-particle":"","parse-names":false,"suffix":""},{"dropping-particle":"","family":"Coudron","given":"Thomas C.","non-dropping-particle":"","parse-names":false,"suffix":""},{"dropping-particle":"","family":"Payton","given":"Mark E.","non-dropping-particle":"","parse-names":false,"suffix":""}],"container-title":"Molecular Ecology Resources","id":"ITEM-1","issue":"2","issued":{"date-parts":[["2011"]]},"page":"286-293","title":"Unnecessary roughness? Testing the hypothesis that predators destined for molecular gut-content analysis must be hand-collected to avoid cross-contamination","type":"article-journal","volume":"11"},"uris":["http://www.mendeley.com/documents/?uuid=c50e78b6-6f1a-48e0-982b-b90421d05175"]}],"mendeley":{"formattedCitation":"(Greenstone et al., 2011)","plainTextFormattedCitation":"(Greenstone et al., 2011)","previouslyFormattedCitation":"(Greenstone et al.,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(Greenstone et al., 2011)</w:t>
      </w:r>
      <w:r w:rsidRPr="0040503F">
        <w:rPr>
          <w:rFonts w:ascii="Times New Roman" w:hAnsi="Times New Roman" w:cs="Times New Roman"/>
          <w:bCs/>
        </w:rPr>
        <w:fldChar w:fldCharType="end"/>
      </w:r>
      <w:r w:rsidRPr="0040503F">
        <w:rPr>
          <w:rFonts w:ascii="Times New Roman" w:hAnsi="Times New Roman" w:cs="Times New Roman"/>
          <w:bCs/>
        </w:rPr>
        <w:t xml:space="preserve">. </w:t>
      </w:r>
      <w:r w:rsidR="0040503F">
        <w:rPr>
          <w:rFonts w:ascii="Times New Roman" w:hAnsi="Times New Roman" w:cs="Times New Roman"/>
          <w:bCs/>
        </w:rPr>
        <w:t>We identified all predators to morphospecies in a laboratory environment and the predator species used in this study represent the most common predator species found in each habitat type.</w:t>
      </w:r>
      <w:r w:rsidR="004E7FA1">
        <w:rPr>
          <w:rFonts w:ascii="Times New Roman" w:hAnsi="Times New Roman" w:cs="Times New Roman"/>
          <w:bCs/>
        </w:rPr>
        <w:t xml:space="preserve"> All individuals were stored in a -20ºC freezer before DNA extraction.</w:t>
      </w:r>
    </w:p>
    <w:p w14:paraId="60E14186" w14:textId="77777777" w:rsidR="0040503F" w:rsidRPr="0040503F" w:rsidRDefault="0040503F" w:rsidP="0040503F">
      <w:pPr>
        <w:rPr>
          <w:rFonts w:ascii="Times New Roman" w:hAnsi="Times New Roman" w:cs="Times New Roman"/>
          <w:bCs/>
          <w:i/>
          <w:iCs/>
        </w:rPr>
      </w:pPr>
    </w:p>
    <w:p w14:paraId="1A43F443" w14:textId="02C1D3A6" w:rsidR="00DD2339" w:rsidRPr="0040503F" w:rsidRDefault="00DD2339" w:rsidP="0040503F">
      <w:pPr>
        <w:rPr>
          <w:rFonts w:ascii="Times New Roman" w:hAnsi="Times New Roman" w:cs="Times New Roman"/>
          <w:bCs/>
        </w:rPr>
      </w:pPr>
      <w:commentRangeStart w:id="0"/>
      <w:r w:rsidRPr="0040503F">
        <w:rPr>
          <w:rFonts w:ascii="Times New Roman" w:hAnsi="Times New Roman" w:cs="Times New Roman"/>
          <w:bCs/>
          <w:i/>
          <w:iCs/>
        </w:rPr>
        <w:t>DNA</w:t>
      </w:r>
      <w:commentRangeEnd w:id="0"/>
      <w:r w:rsidR="002448DC">
        <w:rPr>
          <w:rStyle w:val="CommentReference"/>
        </w:rPr>
        <w:commentReference w:id="0"/>
      </w:r>
      <w:r w:rsidRPr="0040503F">
        <w:rPr>
          <w:rFonts w:ascii="Times New Roman" w:hAnsi="Times New Roman" w:cs="Times New Roman"/>
          <w:bCs/>
          <w:i/>
          <w:iCs/>
        </w:rPr>
        <w:t xml:space="preserve"> extraction and removal of consumer DNA with </w:t>
      </w:r>
      <w:proofErr w:type="spellStart"/>
      <w:r w:rsidRPr="0040503F">
        <w:rPr>
          <w:rFonts w:ascii="Times New Roman" w:hAnsi="Times New Roman" w:cs="Times New Roman"/>
          <w:bCs/>
          <w:i/>
          <w:iCs/>
        </w:rPr>
        <w:t>Ampure</w:t>
      </w:r>
      <w:proofErr w:type="spellEnd"/>
      <w:r w:rsidRPr="0040503F">
        <w:rPr>
          <w:rFonts w:ascii="Times New Roman" w:hAnsi="Times New Roman" w:cs="Times New Roman"/>
          <w:bCs/>
          <w:i/>
          <w:iCs/>
        </w:rPr>
        <w:t xml:space="preserve"> XP beads</w:t>
      </w:r>
    </w:p>
    <w:p w14:paraId="3BFE76DF" w14:textId="163A7583" w:rsidR="00DD2339" w:rsidRPr="0040503F" w:rsidRDefault="00DD2339" w:rsidP="0040503F">
      <w:pPr>
        <w:rPr>
          <w:rFonts w:ascii="Times New Roman" w:hAnsi="Times New Roman" w:cs="Times New Roman"/>
          <w:bCs/>
        </w:rPr>
      </w:pPr>
      <w:r w:rsidRPr="0040503F">
        <w:rPr>
          <w:rFonts w:ascii="Times New Roman" w:hAnsi="Times New Roman" w:cs="Times New Roman"/>
          <w:bCs/>
        </w:rPr>
        <w:t xml:space="preserve">We </w:t>
      </w:r>
      <w:r w:rsidR="0040503F">
        <w:rPr>
          <w:rFonts w:ascii="Times New Roman" w:hAnsi="Times New Roman" w:cs="Times New Roman"/>
          <w:bCs/>
        </w:rPr>
        <w:t xml:space="preserve">individually measured each individual predator length in a sterilized laminar flow hood with sterilized implements and sterilized surfaces, after which we removed body parts other than the abdomen and thorax (for </w:t>
      </w:r>
      <w:proofErr w:type="spellStart"/>
      <w:r w:rsidR="0040503F">
        <w:rPr>
          <w:rFonts w:ascii="Times New Roman" w:hAnsi="Times New Roman" w:cs="Times New Roman"/>
          <w:bCs/>
        </w:rPr>
        <w:t>Insecta</w:t>
      </w:r>
      <w:proofErr w:type="spellEnd"/>
      <w:r w:rsidR="0040503F">
        <w:rPr>
          <w:rFonts w:ascii="Times New Roman" w:hAnsi="Times New Roman" w:cs="Times New Roman"/>
          <w:bCs/>
        </w:rPr>
        <w:t xml:space="preserve"> predators), the </w:t>
      </w:r>
      <w:proofErr w:type="spellStart"/>
      <w:r w:rsidR="0040503F">
        <w:rPr>
          <w:rFonts w:ascii="Times New Roman" w:hAnsi="Times New Roman" w:cs="Times New Roman"/>
          <w:bCs/>
        </w:rPr>
        <w:t>oposthosoma</w:t>
      </w:r>
      <w:proofErr w:type="spellEnd"/>
      <w:r w:rsidR="0040503F">
        <w:rPr>
          <w:rFonts w:ascii="Times New Roman" w:hAnsi="Times New Roman" w:cs="Times New Roman"/>
          <w:bCs/>
        </w:rPr>
        <w:t xml:space="preserve"> (for Arachnida predators), or the trunk (for </w:t>
      </w:r>
      <w:proofErr w:type="spellStart"/>
      <w:r w:rsidR="0040503F">
        <w:rPr>
          <w:rFonts w:ascii="Times New Roman" w:hAnsi="Times New Roman" w:cs="Times New Roman"/>
          <w:bCs/>
        </w:rPr>
        <w:t>Chilopoda</w:t>
      </w:r>
      <w:proofErr w:type="spellEnd"/>
      <w:r w:rsidR="0040503F">
        <w:rPr>
          <w:rFonts w:ascii="Times New Roman" w:hAnsi="Times New Roman" w:cs="Times New Roman"/>
          <w:bCs/>
        </w:rPr>
        <w:t xml:space="preserve"> predators). We extracted DNA from each predator following a </w:t>
      </w:r>
      <w:r w:rsidRPr="0040503F">
        <w:rPr>
          <w:rFonts w:ascii="Times New Roman" w:hAnsi="Times New Roman" w:cs="Times New Roman"/>
          <w:bCs/>
        </w:rPr>
        <w:t xml:space="preserve">modified CTAB extraction protocol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{"citationItems":[{"id":"ITEM-1","itemData":{"DOI":"10.1007/BF02670897","ISSN":"07359640","author":[{"dropping-particle":"","family":"Fulton","given":"Theresa M.","non-dropping-particle":"","parse-names":false,"suffix":""},{"dropping-particle":"","family":"Chunwongse","given":"Julapark","non-dropping-particle":"","parse-names":false,"suffix":""},{"dropping-particle":"","family":"Tanksley","given":"Steven D.","non-dropping-particle":"","parse-names":false,"suffix":""}],"container-title":"Plant Molecular Biology Reporter","id":"ITEM-1","issue":"3","issued":{"date-parts":[["1995"]]},"page":"207-209","title":"Microprep protocol for extraction of DNA from tomato and other herbaceous plants","type":"article-journal","volume":"13"},"uris":["http://www.mendeley.com/documents/?uuid=b376f09b-308a-4090-8858-fab8649f0907"]}],"mendeley":{"formattedCitation":"(Fulton et al., 1995)","plainTextFormattedCitation":"(Fulton et al., 1995)","previouslyFormattedCitation":"(Fulton et al., 1995)"},"properties":{"noteIndex":0},"schema":"https://github.com/citation-style-language/schema/raw/master/csl-citation.json"}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(Fulton et al., 1995)</w:t>
      </w:r>
      <w:r w:rsidRPr="0040503F">
        <w:rPr>
          <w:rFonts w:ascii="Times New Roman" w:hAnsi="Times New Roman" w:cs="Times New Roman"/>
          <w:bCs/>
        </w:rPr>
        <w:fldChar w:fldCharType="end"/>
      </w:r>
      <w:r w:rsidRPr="0040503F">
        <w:rPr>
          <w:rFonts w:ascii="Times New Roman" w:hAnsi="Times New Roman" w:cs="Times New Roman"/>
          <w:bCs/>
        </w:rPr>
        <w:t>. At least twenty-four hours following extraction, we quantified DNA using a Qubit (Invitrogen) fluorometer with the high sensitivity double-stranded DNA quantification kit using 1</w:t>
      </w:r>
      <w:r w:rsidR="0040503F">
        <w:rPr>
          <w:rFonts w:ascii="Times New Roman" w:hAnsi="Times New Roman" w:cs="Times New Roman"/>
          <w:bCs/>
        </w:rPr>
        <w:t>u</w:t>
      </w:r>
      <w:r w:rsidRPr="0040503F">
        <w:rPr>
          <w:rFonts w:ascii="Times New Roman" w:hAnsi="Times New Roman" w:cs="Times New Roman"/>
          <w:bCs/>
        </w:rPr>
        <w:t xml:space="preserve">L of DNA template per reaction. We used methods developed by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2017)","manualFormatting":"Krehenwinkel et al., (2017)","plainTextFormattedCitation":"(Krehenwinkel et al., 2017)","previouslyFormattedCitation":"(Krehenwinkel et al., 2017)"},"properties":{"noteIndex":0},"schema":"https://github.com/citation-style-language/schema/raw/master/csl-citation.json"}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Krehenwinkel et al., (2017)</w:t>
      </w:r>
      <w:r w:rsidRPr="0040503F">
        <w:rPr>
          <w:rFonts w:ascii="Times New Roman" w:hAnsi="Times New Roman" w:cs="Times New Roman"/>
          <w:bCs/>
        </w:rPr>
        <w:fldChar w:fldCharType="end"/>
      </w:r>
      <w:r w:rsidRPr="0040503F">
        <w:rPr>
          <w:rFonts w:ascii="Times New Roman" w:hAnsi="Times New Roman" w:cs="Times New Roman"/>
          <w:bCs/>
        </w:rPr>
        <w:t xml:space="preserve"> to isolate a proportion of lower molecular weight consumer or diet DNA prior to PCR steps with </w:t>
      </w:r>
      <w:proofErr w:type="spellStart"/>
      <w:r w:rsidRPr="0040503F">
        <w:rPr>
          <w:rFonts w:ascii="Times New Roman" w:hAnsi="Times New Roman" w:cs="Times New Roman"/>
          <w:bCs/>
        </w:rPr>
        <w:t>Ampure</w:t>
      </w:r>
      <w:proofErr w:type="spellEnd"/>
      <w:r w:rsidRPr="0040503F">
        <w:rPr>
          <w:rFonts w:ascii="Times New Roman" w:hAnsi="Times New Roman" w:cs="Times New Roman"/>
          <w:bCs/>
        </w:rPr>
        <w:t xml:space="preserve"> XP beads. </w:t>
      </w:r>
      <w:proofErr w:type="spellStart"/>
      <w:r w:rsidRPr="0040503F">
        <w:rPr>
          <w:rFonts w:ascii="Times New Roman" w:hAnsi="Times New Roman" w:cs="Times New Roman"/>
          <w:bCs/>
        </w:rPr>
        <w:t>Ampure</w:t>
      </w:r>
      <w:proofErr w:type="spellEnd"/>
      <w:r w:rsidRPr="0040503F">
        <w:rPr>
          <w:rFonts w:ascii="Times New Roman" w:hAnsi="Times New Roman" w:cs="Times New Roman"/>
          <w:bCs/>
        </w:rPr>
        <w:t xml:space="preserve"> XP beads preferentially bind to heavier molecules of more intact consumer DNA, leaving the smaller fragments of presumed semi-digested diet DNA in the supernatant. Thus, by keeping the supernatant, we aimed to work with a sample that had a larger proportion of lower molecular weight diet DNA after removing consumer DNA that bound to beads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sequencing","type":"article-journal","volume":"8"},"uris":["http://www.mendeley.com/documents/?uuid=fb2e8175-4a49-469a-9a3f-fd691bab5def"]}],"mendeley":{"formattedCitation":"(Krehenwinkel et al., 2017)","plainTextFormattedCitation":"(Krehenwinkel et al., 2017)","previouslyFormattedCitation":"(Krehenwinkel et al., 2017)"},"properties":{"noteIndex":0},"schema":"https://github.com/citation-style-language/schema/raw/master/csl-citation.json"}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(Krehenwinkel et al., 2017)</w:t>
      </w:r>
      <w:r w:rsidRPr="0040503F">
        <w:rPr>
          <w:rFonts w:ascii="Times New Roman" w:hAnsi="Times New Roman" w:cs="Times New Roman"/>
          <w:bCs/>
        </w:rPr>
        <w:fldChar w:fldCharType="end"/>
      </w:r>
      <w:r w:rsidRPr="0040503F">
        <w:rPr>
          <w:rFonts w:ascii="Times New Roman" w:hAnsi="Times New Roman" w:cs="Times New Roman"/>
          <w:bCs/>
        </w:rPr>
        <w:t>. To do this, we diluted each DNA sample to 20ng/</w:t>
      </w:r>
      <w:r w:rsidR="0040503F">
        <w:rPr>
          <w:rFonts w:ascii="Times New Roman" w:hAnsi="Times New Roman" w:cs="Times New Roman"/>
          <w:bCs/>
        </w:rPr>
        <w:t>u</w:t>
      </w:r>
      <w:r w:rsidRPr="0040503F">
        <w:rPr>
          <w:rFonts w:ascii="Times New Roman" w:hAnsi="Times New Roman" w:cs="Times New Roman"/>
          <w:bCs/>
        </w:rPr>
        <w:t>l (creating a total sample volume of 40</w:t>
      </w:r>
      <w:r w:rsidR="0040503F">
        <w:rPr>
          <w:rFonts w:ascii="Times New Roman" w:hAnsi="Times New Roman" w:cs="Times New Roman"/>
          <w:bCs/>
        </w:rPr>
        <w:t>u</w:t>
      </w:r>
      <w:r w:rsidRPr="0040503F">
        <w:rPr>
          <w:rFonts w:ascii="Times New Roman" w:hAnsi="Times New Roman" w:cs="Times New Roman"/>
          <w:bCs/>
        </w:rPr>
        <w:t xml:space="preserve">L), mixed each sample using </w:t>
      </w:r>
      <w:proofErr w:type="spellStart"/>
      <w:r w:rsidRPr="0040503F">
        <w:rPr>
          <w:rFonts w:ascii="Times New Roman" w:hAnsi="Times New Roman" w:cs="Times New Roman"/>
          <w:bCs/>
        </w:rPr>
        <w:t>Ampure</w:t>
      </w:r>
      <w:proofErr w:type="spellEnd"/>
      <w:r w:rsidRPr="0040503F">
        <w:rPr>
          <w:rFonts w:ascii="Times New Roman" w:hAnsi="Times New Roman" w:cs="Times New Roman"/>
          <w:bCs/>
        </w:rPr>
        <w:t xml:space="preserve"> XP beads (0.75x bead-to-DNA ratio), and kept the supernatant from this step. With the supernatant, we repeated the CTAB protocol steps for precipitating DNA pellets with isopropanol and 5M potassium acetate and cleaned DNA pellets with ethanol washes</w:t>
      </w:r>
      <w:r w:rsidR="00C87714">
        <w:rPr>
          <w:rFonts w:ascii="Times New Roman" w:hAnsi="Times New Roman" w:cs="Times New Roman"/>
          <w:bCs/>
        </w:rPr>
        <w:t xml:space="preserve">. </w:t>
      </w:r>
      <w:r w:rsidRPr="0040503F">
        <w:rPr>
          <w:rFonts w:ascii="Times New Roman" w:hAnsi="Times New Roman" w:cs="Times New Roman"/>
          <w:bCs/>
        </w:rPr>
        <w:t xml:space="preserve">After at least another twenty-four hours, we quantified DNA again using a </w:t>
      </w:r>
      <w:r w:rsidRPr="0040503F">
        <w:rPr>
          <w:rFonts w:ascii="Times New Roman" w:hAnsi="Times New Roman" w:cs="Times New Roman"/>
          <w:bCs/>
        </w:rPr>
        <w:lastRenderedPageBreak/>
        <w:t>Qubit fluorometer (following the same methods as above) and diluted all samples to 10ng/</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xml:space="preserve"> prior to PCR steps. All DNA pellets were stored in and diluted with TE buffer.</w:t>
      </w:r>
    </w:p>
    <w:p w14:paraId="2C231C42" w14:textId="77777777" w:rsidR="00DD2339" w:rsidRPr="0040503F" w:rsidRDefault="00DD2339" w:rsidP="0040503F">
      <w:pPr>
        <w:rPr>
          <w:rFonts w:ascii="Times New Roman" w:hAnsi="Times New Roman" w:cs="Times New Roman"/>
          <w:bCs/>
        </w:rPr>
      </w:pPr>
    </w:p>
    <w:p w14:paraId="59FFE23F" w14:textId="77777777" w:rsidR="00DD2339" w:rsidRPr="0040503F" w:rsidRDefault="00DD2339" w:rsidP="0040503F">
      <w:pPr>
        <w:rPr>
          <w:rFonts w:ascii="Times New Roman" w:hAnsi="Times New Roman" w:cs="Times New Roman"/>
          <w:bCs/>
          <w:i/>
          <w:iCs/>
        </w:rPr>
      </w:pPr>
      <w:r w:rsidRPr="0040503F">
        <w:rPr>
          <w:rFonts w:ascii="Times New Roman" w:hAnsi="Times New Roman" w:cs="Times New Roman"/>
          <w:bCs/>
          <w:i/>
          <w:iCs/>
        </w:rPr>
        <w:t>PCR amplification, library preparation, and sequencing</w:t>
      </w:r>
    </w:p>
    <w:p w14:paraId="489775A9" w14:textId="77777777" w:rsidR="00DD2339" w:rsidRPr="0040503F" w:rsidRDefault="00DD2339" w:rsidP="0040503F">
      <w:pPr>
        <w:rPr>
          <w:rFonts w:ascii="Times New Roman" w:hAnsi="Times New Roman" w:cs="Times New Roman"/>
          <w:bCs/>
        </w:rPr>
      </w:pPr>
      <w:r w:rsidRPr="0040503F">
        <w:rPr>
          <w:rFonts w:ascii="Times New Roman" w:hAnsi="Times New Roman" w:cs="Times New Roman"/>
          <w:bCs/>
        </w:rPr>
        <w:t xml:space="preserve">We amplified the CO1 gene with general metazoan primers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10.1111/2041-210X.12647","ISSN":"2041-210X","author":[{"dropping-particle":"","family":"Krehenwinkel","given":"Henrik","non-dropping-particle":"","parse-names":false,"suffix":""},{"dropping-particle":"","family":"Kennedy","given":"Susan","non-dropping-particle":"","parse-names":false,"suffix":""},{"dropping-particle":"","family":"Pekár","given":"Stano","non-dropping-particle":"","parse-names":false,"suffix":""},{"dropping-particle":"","family":"Gillespie","given":"Rosemary G.","non-dropping-particle":"","parse-names":false,"suffix":""}],"container-title":"Methods in Ecology and Evolution","editor":[{"dropping-particle":"","family":"Johnston","given":"Susan","non-dropping-particle":"","parse-names":false,"suffix":""}],"id":"ITEM-1","issue":"1","issued":{"date-parts":[["2017","1","29"]]},"note":"NULL","page":"126-134","title":"A cost‐efficient and simple protocol to enrich prey DNA from extractions of predatory arthropods for large‐scale gut content analysis by Illumina sequencing","type":"article-journal","volume":"8"},"uris":["http://www.mendeley.com/documents/?uuid=fb2e8175-4a49-469a-9a3f-fd691bab5def"]},{"id":"ITEM-2","itemData":{"DOI":"10.1111/j.2041-210X.2012.00198.x","ISBN":"2041-210X","ISSN":"2041210X","PMID":"24625330","abstract":"1. Traditional biodiversity assessment is costly in time,money and taxonomic expertise.Moreover, data are frequently collected inways (e.g. visual bird lists) that are unsuitable for auditing by neutral parties, which is necessary for dispute resolution. 2. We present protocols for the extraction of ecological, taxonomic and phylogenetic information frombulk samples of arthropods. The protocols combine mass trapping of arthropods, mass-PCR amplification of theCOI barcode gene, pyrosequencing and bioinformatic analysis, which together we call ‘metabarcoding’. 3. We construct seven communities of arthropods (mostly insects) and show that it is possible to recover a substantial proportion of the original taxonomic information. We further demonstrate, for the first time, that metabarcoding allows for the precise estimation of pairwise community dis- similarity (beta diversity) and within-community phylogenetic diversity (alpha diversity), despite the inevitable loss of taxonomic information inherent tometabarcoding. 4. Alpha and beta diversity metrics are the raw materials of ecology and the environmental sci- ences, facilitating assessment of the state of the environment with a broad and efficient measure of biodiversity","author":[{"dropping-particle":"","family":"Yu","given":"Douglas W.","non-dropping-particle":"","parse-names":false,"suffix":""},{"dropping-particle":"","family":"Ji","given":"Yinqiu","non-dropping-particle":"","parse-names":false,"suffix":""},{"dropping-particle":"","family":"Emerson","given":"Brent C.","non-dropping-particle":"","parse-names":false,"suffix":""},{"dropping-particle":"","family":"Wang","given":"Xiaoyang","non-dropping-particle":"","parse-names":false,"suffix":""},{"dropping-particle":"","family":"Ye","given":"Chengxi","non-dropping-particle":"","parse-names":false,"suffix":""},{"dropping-particle":"","family":"Yang","given":"Chunyan","non-dropping-particle":"","parse-names":false,"suffix":""},{"dropping-particle":"","family":"Ding","given":"Zhaoli","non-dropping-particle":"","parse-names":false,"suffix":""}],"container-title":"Methods in Ecology and Evolution","id":"ITEM-2","issue":"4","issued":{"date-parts":[["2012"]]},"page":"613-623","title":"Biodiversity soup: Metabarcoding of arthropods for rapid biodiversity assessment and biomonitoring","type":"article-journal","volume":"3"},"uris":["http://www.mendeley.com/documents/?uuid=bfe08dd7-141d-4ee4-98a8-e184e9fb9dae"]},{"id":"ITEM-3","itemData":{"DOI":"10.1186/1742-9994-10-34","ISBN":"1742-9994 (Print)\\r1742-9994 (Linking)","ISSN":"17429994","PMID":"23767809","abstract":"INTRODUCTION: The PCR-based analysis of homologous genes has become one of the most powerful approaches for species detection and identification, particularly with the recent availability of Next Generation Sequencing platforms (NGS) making it possible to identify species composition from a broad range of environmental samples. Identifying species from these samples relies on the ability to match sequences with reference barcodes for taxonomic identification. Unfortunately, most studies of environmental samples have targeted ribosomal markers, despite the fact that the mitochondrial Cytochrome c Oxidase subunit I gene (COI) is by far the most widely available sequence region in public reference libraries. This is largely because the available versatile (\"universal\") COI primers target the 658 barcoding region, whose size is considered too large for many NGS applications. Moreover, traditional barcoding primers are known to be poorly conserved across some taxonomic groups.\\n\\nRESULTS: We first design a new PCR primer within the highly variable mitochondrial COI region, the \"mlCOIintF\" primer. We then show that this newly designed forward primer combined with the \"jgHCO2198\" reverse primer to target a 313 bp fragment performs well across metazoan diversity, with higher success rates than versatile primer sets traditionally used for DNA barcoding (i.e. LCO1490/HCO2198). Finally, we demonstrate how the shorter COI fragment coupled with an efficient bioinformatics pipeline can be used to characterize species diversity from environmental samples by pyrosequencing. We examine the gut contents of three species of planktivorous and benthivorous coral reef fish (family: Apogonidae and Holocentridae). After the removal of dubious COI sequences, we obtained a total of 334 prey Operational Taxonomic Units (OTUs) belonging to 14 phyla from 16 fish guts. Of these, 52.5% matched a reference barcode (&gt;98% sequence similarity) and an additional 32% could be assigned to a higher taxonomic level using Bayesian assignment.\\n\\nCONCLUSIONS: The molecular analysis of gut contents targeting the 313 COI fragment using the newly designed mlCOIintF primer in combination with the jgHCO2198 primer offers enormous promise for metazoan metabarcoding studies. We believe that this primer set will be a valuable asset for a range of applications from large-scale biodiversity assessments to food web studies.","author":[{"dropping-particle":"","family":"Leray","given":"Matthieu","non-dropping-particle":"","parse-names":false,"suffix":""},{"dropping-particle":"","family":"Yang","given":"Joy Y.","non-dropping-particle":"","parse-names":false,"suffix":""},{"dropping-particle":"","family":"Meyer","given":"Christopher P.","non-dropping-particle":"","parse-names":false,"suffix":""},{"dropping-particle":"","family":"Mills","given":"Suzanne C.","non-dropping-particle":"","parse-names":false,"suffix":""},{"dropping-particle":"","family":"Agudelo","given":"Natalia","non-dropping-particle":"","parse-names":false,"suffix":""},{"dropping-particle":"","family":"Ranwez","given":"Vincent","non-dropping-particle":"","parse-names":false,"suffix":""},{"dropping-particle":"","family":"Boehm","given":"Joel T.","non-dropping-particle":"","parse-names":false,"suffix":""},{"dropping-particle":"","family":"Machida","given":"Ryuji J.","non-dropping-particle":"","parse-names":false,"suffix":""}],"container-title":"Frontiers in Zoology","id":"ITEM-3","issue":"1","issued":{"date-parts":[["2013"]]},"page":"1","publisher":"Frontiers in Zoology","title":"A new versatile primer set targeting a short fragment of the mitochondrial COI region for metabarcoding metazoan diversity: Application for characterizing coral reef fish gut contents","type":"article-journal","volume":"10"},"uris":["http://www.mendeley.com/documents/?uuid=97e7cb9d-ec90-4210-a6f8-fac3b0a3f39b"]}],"mendeley":{"formattedCitation":"(Krehenwinkel et al., 2017; Leray et al., 2013; Yu et al., 2012)","plainTextFormattedCitation":"(Krehenwinkel et al., 2017; Leray et al., 2013; Yu et al., 2012)","previouslyFormattedCitation":"(Krehenwinkel et al., 2017; Leray et al., 2013; Yu et al., 2012)"},"properties":{"noteIndex":0},"schema":"https://github.com/citation-style-language/schema/raw/master/csl-citation.json"}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(Krehenwinkel et al., 2017; Leray et al., 2013; Yu et al., 2012)</w:t>
      </w:r>
      <w:r w:rsidRPr="0040503F">
        <w:rPr>
          <w:rFonts w:ascii="Times New Roman" w:hAnsi="Times New Roman" w:cs="Times New Roman"/>
          <w:bCs/>
        </w:rPr>
        <w:fldChar w:fldCharType="end"/>
      </w:r>
      <w:r w:rsidRPr="0040503F">
        <w:rPr>
          <w:rFonts w:ascii="Times New Roman" w:hAnsi="Times New Roman" w:cs="Times New Roman"/>
          <w:bCs/>
        </w:rPr>
        <w:t xml:space="preserve">. The CO1 gene is well-represented in the GenBank sequencing database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{"citationItems":[{"id":"ITEM-1","itemData":{"DOI":"10.1371/journal.pone.0200177","ISBN":"1111111111","ISSN":"19326203","abstract":"The increasing popularity of cytochrome c oxidase subunit 1 (COI) DNA metabarcoding warrants a careful look at the underlying reference databases used to make high-throughput taxonomic assignments. The objectives of this study are to document trends and assess the future usability of COI records for metabarcode identification. The number of COI records deposited to the NCBI nucleotide database has increased by a geometric average of 51% per year, from 8,137 records deposited in 2003 to a cumulative total of ~ 2.5 million by the end of 2017. About half of these records are fully identified to the species rank, 92% are at least 500 bp in length, 74% have a country annotation, and 51% have latitude-longitude annotations. To ensure the future usability of COI records in GenBank we suggest: 1) Improving the geographic representation of COI records, 2) Improving the cross-referencing of COI records in the Barcode of Life Data System and GenBank to facilitate consolidation and incorporation into existing bioinformatic pipelines, 3) Adherence to the minimum information about a marker gene sequence guidelines, and 4) Integrating metabarcodes from eDNA and mixed community studies with existing reference sequences. The growth of COI reference records over the past 15 years has been substantial and is likely to be a resource across many fields for years to come.","author":[{"dropping-particle":"","family":"Porter","given":"Teresita M.","non-dropping-particle":"","parse-names":false,"suffix":""},{"dropping-particle":"","family":"Hajibabaei","given":"Mehrdad","non-dropping-particle":"","parse-names":false,"suffix":""}],"container-title":"PLoS ONE","id":"ITEM-1","issue":"9","issued":{"date-parts":[["2018"]]},"page":"1-16","title":"Over 2.5 million COI sequences in GenBank and growing","type":"article-journal","volume":"13"},"uris":["http://www.mendeley.com/documents/?uuid=91262827-52e9-4c29-9b44-a8cb41defab3"]}],"mendeley":{"formattedCitation":"(Porter &amp; Hajibabaei, 2018)","plainTextFormattedCitation":"(Porter &amp; Hajibabaei, 2018)","previouslyFormattedCitation":"(Porter &amp; Hajibabaei, 2018)"},"properties":{"noteIndex":0},"schema":"https://github.com/citation-style-language/schema/raw/master/csl-citation.json"}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(Porter &amp; Hajibabaei, 2018)</w:t>
      </w:r>
      <w:r w:rsidRPr="0040503F">
        <w:rPr>
          <w:rFonts w:ascii="Times New Roman" w:hAnsi="Times New Roman" w:cs="Times New Roman"/>
          <w:bCs/>
        </w:rPr>
        <w:fldChar w:fldCharType="end"/>
      </w:r>
      <w:r w:rsidRPr="0040503F">
        <w:rPr>
          <w:rFonts w:ascii="Times New Roman" w:hAnsi="Times New Roman" w:cs="Times New Roman"/>
          <w:bCs/>
        </w:rPr>
        <w:t xml:space="preserve">. We performed all PCR preparation steps in a UV-sterilized biosafety cabinet. We used a standard desalted primer set tested by </w:t>
      </w:r>
      <w:proofErr w:type="spellStart"/>
      <w:r w:rsidRPr="0040503F">
        <w:rPr>
          <w:rFonts w:ascii="Times New Roman" w:hAnsi="Times New Roman" w:cs="Times New Roman"/>
          <w:bCs/>
        </w:rPr>
        <w:t>Krehenwinkel</w:t>
      </w:r>
      <w:proofErr w:type="spellEnd"/>
      <w:r w:rsidRPr="0040503F">
        <w:rPr>
          <w:rFonts w:ascii="Times New Roman" w:hAnsi="Times New Roman" w:cs="Times New Roman"/>
          <w:bCs/>
        </w:rPr>
        <w:t xml:space="preserve"> et al., (2017) for use in diet analyses of invertebrate predatory consumers, including spiders (Table 2). These primers included overhang adapters compatible with the Illumina indexing PCR (Illumina 2009) that immediately followed CO1 amplification. </w:t>
      </w:r>
    </w:p>
    <w:p w14:paraId="7589A803" w14:textId="77777777" w:rsidR="00DD2339" w:rsidRPr="0040503F" w:rsidRDefault="00DD2339" w:rsidP="0040503F">
      <w:pPr>
        <w:rPr>
          <w:rFonts w:ascii="Times New Roman" w:hAnsi="Times New Roman" w:cs="Times New Roman"/>
          <w:bCs/>
        </w:rPr>
      </w:pPr>
    </w:p>
    <w:p w14:paraId="3CFF7034" w14:textId="26837562" w:rsidR="00DD2339" w:rsidRPr="0040503F" w:rsidRDefault="00DD2339" w:rsidP="0040503F">
      <w:pPr>
        <w:rPr>
          <w:rFonts w:ascii="Times New Roman" w:hAnsi="Times New Roman" w:cs="Times New Roman"/>
          <w:bCs/>
        </w:rPr>
      </w:pPr>
      <w:r w:rsidRPr="0040503F">
        <w:rPr>
          <w:rFonts w:ascii="Times New Roman" w:hAnsi="Times New Roman" w:cs="Times New Roman"/>
          <w:bCs/>
        </w:rPr>
        <w:t>We amplified the CO1 gene in each sample by PCR in a 25</w:t>
      </w:r>
      <w:r w:rsidR="0040503F">
        <w:rPr>
          <w:rFonts w:ascii="Times New Roman" w:hAnsi="Times New Roman" w:cs="Times New Roman"/>
          <w:bCs/>
        </w:rPr>
        <w:t>u</w:t>
      </w:r>
      <w:r w:rsidRPr="0040503F">
        <w:rPr>
          <w:rFonts w:ascii="Times New Roman" w:hAnsi="Times New Roman" w:cs="Times New Roman"/>
          <w:bCs/>
        </w:rPr>
        <w:t>L reaction volume that included 9</w:t>
      </w:r>
      <w:r w:rsidR="0040503F">
        <w:rPr>
          <w:rFonts w:ascii="Times New Roman" w:hAnsi="Times New Roman" w:cs="Times New Roman"/>
          <w:bCs/>
        </w:rPr>
        <w:t>u</w:t>
      </w:r>
      <w:r w:rsidRPr="0040503F">
        <w:rPr>
          <w:rFonts w:ascii="Times New Roman" w:hAnsi="Times New Roman" w:cs="Times New Roman"/>
          <w:bCs/>
        </w:rPr>
        <w:t>L nuclease free water, 12.5</w:t>
      </w:r>
      <w:r w:rsidR="0040503F">
        <w:rPr>
          <w:rFonts w:ascii="Times New Roman" w:hAnsi="Times New Roman" w:cs="Times New Roman"/>
          <w:bCs/>
        </w:rPr>
        <w:t>u</w:t>
      </w:r>
      <w:r w:rsidRPr="0040503F">
        <w:rPr>
          <w:rFonts w:ascii="Times New Roman" w:hAnsi="Times New Roman" w:cs="Times New Roman"/>
          <w:bCs/>
        </w:rPr>
        <w:t xml:space="preserve">L </w:t>
      </w:r>
      <w:proofErr w:type="spellStart"/>
      <w:r w:rsidRPr="0040503F">
        <w:rPr>
          <w:rFonts w:ascii="Times New Roman" w:hAnsi="Times New Roman" w:cs="Times New Roman"/>
          <w:bCs/>
        </w:rPr>
        <w:t>GoTaq</w:t>
      </w:r>
      <w:proofErr w:type="spellEnd"/>
      <w:r w:rsidRPr="0040503F">
        <w:rPr>
          <w:rFonts w:ascii="Times New Roman" w:hAnsi="Times New Roman" w:cs="Times New Roman"/>
          <w:bCs/>
        </w:rPr>
        <w:t xml:space="preserve"> Green Master Mix (Promega Corp.), 1.25 </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xml:space="preserve"> of each of the primers (at 10mM), and 1 </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xml:space="preserve"> of DNA template (at 10ng/</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When DNA concentrations were lower than 10ng/</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we added more DNA to the sample to equal 10ng of total template and reduced the amount of water added. Each sample was run in duplicate until after Illumina indexing PCR, and we ran a duplicated negative sample each PCR run. We ran each reaction with an initial denaturation step at 95</w:t>
      </w:r>
      <w:r w:rsidRPr="0040503F">
        <w:rPr>
          <w:rFonts w:ascii="Times New Roman" w:hAnsi="Times New Roman" w:cs="Times New Roman"/>
          <w:bCs/>
        </w:rPr>
        <w:sym w:font="Symbol" w:char="F0B0"/>
      </w:r>
      <w:r w:rsidRPr="0040503F">
        <w:rPr>
          <w:rFonts w:ascii="Times New Roman" w:hAnsi="Times New Roman" w:cs="Times New Roman"/>
          <w:bCs/>
        </w:rPr>
        <w:t>C for 3 minutes, and then 35 cycles of: 1) denaturation at 95</w:t>
      </w:r>
      <w:r w:rsidRPr="0040503F">
        <w:rPr>
          <w:rFonts w:ascii="Times New Roman" w:hAnsi="Times New Roman" w:cs="Times New Roman"/>
          <w:bCs/>
        </w:rPr>
        <w:sym w:font="Symbol" w:char="F0B0"/>
      </w:r>
      <w:r w:rsidRPr="0040503F">
        <w:rPr>
          <w:rFonts w:ascii="Times New Roman" w:hAnsi="Times New Roman" w:cs="Times New Roman"/>
          <w:bCs/>
        </w:rPr>
        <w:t>C for 30 seconds, 2) annealing at 46</w:t>
      </w:r>
      <w:r w:rsidRPr="0040503F">
        <w:rPr>
          <w:rFonts w:ascii="Times New Roman" w:hAnsi="Times New Roman" w:cs="Times New Roman"/>
          <w:bCs/>
        </w:rPr>
        <w:sym w:font="Symbol" w:char="F0B0"/>
      </w:r>
      <w:r w:rsidRPr="0040503F">
        <w:rPr>
          <w:rFonts w:ascii="Times New Roman" w:hAnsi="Times New Roman" w:cs="Times New Roman"/>
          <w:bCs/>
        </w:rPr>
        <w:t>C for 30 seconds, and 3) elongation at 72</w:t>
      </w:r>
      <w:r w:rsidRPr="0040503F">
        <w:rPr>
          <w:rFonts w:ascii="Times New Roman" w:hAnsi="Times New Roman" w:cs="Times New Roman"/>
          <w:bCs/>
        </w:rPr>
        <w:sym w:font="Symbol" w:char="F0B0"/>
      </w:r>
      <w:r w:rsidRPr="0040503F">
        <w:rPr>
          <w:rFonts w:ascii="Times New Roman" w:hAnsi="Times New Roman" w:cs="Times New Roman"/>
          <w:bCs/>
        </w:rPr>
        <w:t>C for one minute. We ended each PCR run with a final elongation step at 72</w:t>
      </w:r>
      <w:r w:rsidRPr="0040503F">
        <w:rPr>
          <w:rFonts w:ascii="Times New Roman" w:hAnsi="Times New Roman" w:cs="Times New Roman"/>
          <w:bCs/>
        </w:rPr>
        <w:sym w:font="Symbol" w:char="F0B0"/>
      </w:r>
      <w:r w:rsidRPr="0040503F">
        <w:rPr>
          <w:rFonts w:ascii="Times New Roman" w:hAnsi="Times New Roman" w:cs="Times New Roman"/>
          <w:bCs/>
        </w:rPr>
        <w:t>C for 5 minutes and then held samples at 4</w:t>
      </w:r>
      <w:r w:rsidRPr="0040503F">
        <w:rPr>
          <w:rFonts w:ascii="Times New Roman" w:hAnsi="Times New Roman" w:cs="Times New Roman"/>
          <w:bCs/>
        </w:rPr>
        <w:sym w:font="Symbol" w:char="F0B0"/>
      </w:r>
      <w:r w:rsidRPr="0040503F">
        <w:rPr>
          <w:rFonts w:ascii="Times New Roman" w:hAnsi="Times New Roman" w:cs="Times New Roman"/>
          <w:bCs/>
        </w:rPr>
        <w:t>C until placed in a 4</w:t>
      </w:r>
      <w:r w:rsidRPr="0040503F">
        <w:rPr>
          <w:rFonts w:ascii="Times New Roman" w:hAnsi="Times New Roman" w:cs="Times New Roman"/>
          <w:bCs/>
        </w:rPr>
        <w:sym w:font="Symbol" w:char="F0B0"/>
      </w:r>
      <w:r w:rsidRPr="0040503F">
        <w:rPr>
          <w:rFonts w:ascii="Times New Roman" w:hAnsi="Times New Roman" w:cs="Times New Roman"/>
          <w:bCs/>
        </w:rPr>
        <w:t xml:space="preserve">C refrigerator. To remove reaction dimer before attaching Illumina P5/P7 indices, we removed lower molecular weight amplicons (~200 bp) with </w:t>
      </w:r>
      <w:proofErr w:type="spellStart"/>
      <w:r w:rsidRPr="0040503F">
        <w:rPr>
          <w:rFonts w:ascii="Times New Roman" w:hAnsi="Times New Roman" w:cs="Times New Roman"/>
          <w:bCs/>
        </w:rPr>
        <w:t>Ampure</w:t>
      </w:r>
      <w:proofErr w:type="spellEnd"/>
      <w:r w:rsidRPr="0040503F">
        <w:rPr>
          <w:rFonts w:ascii="Times New Roman" w:hAnsi="Times New Roman" w:cs="Times New Roman"/>
          <w:bCs/>
        </w:rPr>
        <w:t xml:space="preserve"> XP beads at a 0.8x bead-to-DNA ratio. Samples were re-suspended from beads using a 10mM TRIS resuspension buffer. </w:t>
      </w:r>
    </w:p>
    <w:p w14:paraId="2E805122" w14:textId="77777777" w:rsidR="00DD2339" w:rsidRPr="0040503F" w:rsidRDefault="00DD2339" w:rsidP="0040503F">
      <w:pPr>
        <w:rPr>
          <w:rFonts w:ascii="Times New Roman" w:hAnsi="Times New Roman" w:cs="Times New Roman"/>
          <w:bCs/>
        </w:rPr>
      </w:pPr>
    </w:p>
    <w:p w14:paraId="0BB561D1" w14:textId="516DC17D" w:rsidR="00DD2339" w:rsidRPr="0040503F" w:rsidRDefault="00DD2339" w:rsidP="0040503F">
      <w:pPr>
        <w:rPr>
          <w:rFonts w:ascii="Times New Roman" w:hAnsi="Times New Roman" w:cs="Times New Roman"/>
          <w:bCs/>
        </w:rPr>
      </w:pPr>
      <w:r w:rsidRPr="0040503F">
        <w:rPr>
          <w:rFonts w:ascii="Times New Roman" w:hAnsi="Times New Roman" w:cs="Times New Roman"/>
          <w:bCs/>
        </w:rPr>
        <w:t>We then attached Illumina index primers with an additional PCR step (</w:t>
      </w:r>
      <w:proofErr w:type="spellStart"/>
      <w:r w:rsidRPr="0040503F">
        <w:rPr>
          <w:rFonts w:ascii="Times New Roman" w:hAnsi="Times New Roman" w:cs="Times New Roman"/>
          <w:bCs/>
        </w:rPr>
        <w:t>Nextera</w:t>
      </w:r>
      <w:proofErr w:type="spellEnd"/>
      <w:r w:rsidRPr="0040503F">
        <w:rPr>
          <w:rFonts w:ascii="Times New Roman" w:hAnsi="Times New Roman" w:cs="Times New Roman"/>
          <w:bCs/>
        </w:rPr>
        <w:t xml:space="preserve"> XT Index Kit v2). Each total reaction volume was again 25</w:t>
      </w:r>
      <w:r w:rsidR="0040503F">
        <w:rPr>
          <w:rFonts w:ascii="Times New Roman" w:hAnsi="Times New Roman" w:cs="Times New Roman"/>
          <w:bCs/>
        </w:rPr>
        <w:t>u</w:t>
      </w:r>
      <w:r w:rsidRPr="0040503F">
        <w:rPr>
          <w:rFonts w:ascii="Times New Roman" w:hAnsi="Times New Roman" w:cs="Times New Roman"/>
          <w:bCs/>
        </w:rPr>
        <w:t>L, with 5</w:t>
      </w:r>
      <w:r w:rsidR="0040503F">
        <w:rPr>
          <w:rFonts w:ascii="Times New Roman" w:hAnsi="Times New Roman" w:cs="Times New Roman"/>
          <w:bCs/>
        </w:rPr>
        <w:t>u</w:t>
      </w:r>
      <w:r w:rsidRPr="0040503F">
        <w:rPr>
          <w:rFonts w:ascii="Times New Roman" w:hAnsi="Times New Roman" w:cs="Times New Roman"/>
          <w:bCs/>
        </w:rPr>
        <w:t>L of nuclease free water, 12.5</w:t>
      </w:r>
      <w:r w:rsidR="0040503F">
        <w:rPr>
          <w:rFonts w:ascii="Times New Roman" w:hAnsi="Times New Roman" w:cs="Times New Roman"/>
          <w:bCs/>
        </w:rPr>
        <w:t>u</w:t>
      </w:r>
      <w:r w:rsidRPr="0040503F">
        <w:rPr>
          <w:rFonts w:ascii="Times New Roman" w:hAnsi="Times New Roman" w:cs="Times New Roman"/>
          <w:bCs/>
        </w:rPr>
        <w:t xml:space="preserve">L </w:t>
      </w:r>
      <w:proofErr w:type="spellStart"/>
      <w:r w:rsidRPr="0040503F">
        <w:rPr>
          <w:rFonts w:ascii="Times New Roman" w:hAnsi="Times New Roman" w:cs="Times New Roman"/>
          <w:bCs/>
        </w:rPr>
        <w:t>GoTaq</w:t>
      </w:r>
      <w:proofErr w:type="spellEnd"/>
      <w:r w:rsidRPr="0040503F">
        <w:rPr>
          <w:rFonts w:ascii="Times New Roman" w:hAnsi="Times New Roman" w:cs="Times New Roman"/>
          <w:bCs/>
        </w:rPr>
        <w:t xml:space="preserve"> Green Master Mix, 1.25</w:t>
      </w:r>
      <w:r w:rsidR="0040503F">
        <w:rPr>
          <w:rFonts w:ascii="Times New Roman" w:hAnsi="Times New Roman" w:cs="Times New Roman"/>
          <w:bCs/>
        </w:rPr>
        <w:t>u</w:t>
      </w:r>
      <w:r w:rsidRPr="0040503F">
        <w:rPr>
          <w:rFonts w:ascii="Times New Roman" w:hAnsi="Times New Roman" w:cs="Times New Roman"/>
          <w:bCs/>
        </w:rPr>
        <w:t>L of each primer (at 10mM), and 5</w:t>
      </w:r>
      <w:r w:rsidR="0040503F">
        <w:rPr>
          <w:rFonts w:ascii="Times New Roman" w:hAnsi="Times New Roman" w:cs="Times New Roman"/>
          <w:bCs/>
        </w:rPr>
        <w:t>u</w:t>
      </w:r>
      <w:r w:rsidRPr="0040503F">
        <w:rPr>
          <w:rFonts w:ascii="Times New Roman" w:hAnsi="Times New Roman" w:cs="Times New Roman"/>
          <w:bCs/>
        </w:rPr>
        <w:t>L of PCR product. These were run in a standard PCR protocol for these primers: an initial denaturing step at 95</w:t>
      </w:r>
      <w:r w:rsidRPr="0040503F">
        <w:rPr>
          <w:rFonts w:ascii="Times New Roman" w:hAnsi="Times New Roman" w:cs="Times New Roman"/>
          <w:bCs/>
        </w:rPr>
        <w:sym w:font="Symbol" w:char="F0B0"/>
      </w:r>
      <w:r w:rsidRPr="0040503F">
        <w:rPr>
          <w:rFonts w:ascii="Times New Roman" w:hAnsi="Times New Roman" w:cs="Times New Roman"/>
          <w:bCs/>
        </w:rPr>
        <w:t>C for 3 minutes, followed by 10 cycles of:  1) denaturation at 95</w:t>
      </w:r>
      <w:r w:rsidRPr="0040503F">
        <w:rPr>
          <w:rFonts w:ascii="Times New Roman" w:hAnsi="Times New Roman" w:cs="Times New Roman"/>
          <w:bCs/>
        </w:rPr>
        <w:sym w:font="Symbol" w:char="F0B0"/>
      </w:r>
      <w:r w:rsidRPr="0040503F">
        <w:rPr>
          <w:rFonts w:ascii="Times New Roman" w:hAnsi="Times New Roman" w:cs="Times New Roman"/>
          <w:bCs/>
        </w:rPr>
        <w:t>C for 30 seconds, 2) annealing at 55</w:t>
      </w:r>
      <w:r w:rsidRPr="0040503F">
        <w:rPr>
          <w:rFonts w:ascii="Times New Roman" w:hAnsi="Times New Roman" w:cs="Times New Roman"/>
          <w:bCs/>
        </w:rPr>
        <w:sym w:font="Symbol" w:char="F0B0"/>
      </w:r>
      <w:r w:rsidRPr="0040503F">
        <w:rPr>
          <w:rFonts w:ascii="Times New Roman" w:hAnsi="Times New Roman" w:cs="Times New Roman"/>
          <w:bCs/>
        </w:rPr>
        <w:t>C for 30 seconds, and 3) elongation at 72</w:t>
      </w:r>
      <w:r w:rsidRPr="0040503F">
        <w:rPr>
          <w:rFonts w:ascii="Times New Roman" w:hAnsi="Times New Roman" w:cs="Times New Roman"/>
          <w:bCs/>
        </w:rPr>
        <w:sym w:font="Symbol" w:char="F0B0"/>
      </w:r>
      <w:r w:rsidRPr="0040503F">
        <w:rPr>
          <w:rFonts w:ascii="Times New Roman" w:hAnsi="Times New Roman" w:cs="Times New Roman"/>
          <w:bCs/>
        </w:rPr>
        <w:t>C for 30 seconds. We ended each run with a final elongation step at 72</w:t>
      </w:r>
      <w:r w:rsidRPr="0040503F">
        <w:rPr>
          <w:rFonts w:ascii="Times New Roman" w:hAnsi="Times New Roman" w:cs="Times New Roman"/>
          <w:bCs/>
        </w:rPr>
        <w:sym w:font="Symbol" w:char="F0B0"/>
      </w:r>
      <w:r w:rsidRPr="0040503F">
        <w:rPr>
          <w:rFonts w:ascii="Times New Roman" w:hAnsi="Times New Roman" w:cs="Times New Roman"/>
          <w:bCs/>
        </w:rPr>
        <w:t>C for 5 minutes and then held samples at 4</w:t>
      </w:r>
      <w:r w:rsidRPr="0040503F">
        <w:rPr>
          <w:rFonts w:ascii="Times New Roman" w:hAnsi="Times New Roman" w:cs="Times New Roman"/>
          <w:bCs/>
        </w:rPr>
        <w:sym w:font="Symbol" w:char="F0B0"/>
      </w:r>
      <w:r w:rsidRPr="0040503F">
        <w:rPr>
          <w:rFonts w:ascii="Times New Roman" w:hAnsi="Times New Roman" w:cs="Times New Roman"/>
          <w:bCs/>
        </w:rPr>
        <w:t>C until placed in a 4</w:t>
      </w:r>
      <w:r w:rsidRPr="0040503F">
        <w:rPr>
          <w:rFonts w:ascii="Times New Roman" w:hAnsi="Times New Roman" w:cs="Times New Roman"/>
          <w:bCs/>
        </w:rPr>
        <w:sym w:font="Symbol" w:char="F0B0"/>
      </w:r>
      <w:r w:rsidRPr="0040503F">
        <w:rPr>
          <w:rFonts w:ascii="Times New Roman" w:hAnsi="Times New Roman" w:cs="Times New Roman"/>
          <w:bCs/>
        </w:rPr>
        <w:t>C refrigerator.</w:t>
      </w:r>
    </w:p>
    <w:p w14:paraId="487647F2" w14:textId="77777777" w:rsidR="00DD2339" w:rsidRPr="0040503F" w:rsidRDefault="00DD2339" w:rsidP="0040503F">
      <w:pPr>
        <w:rPr>
          <w:rFonts w:ascii="Times New Roman" w:hAnsi="Times New Roman" w:cs="Times New Roman"/>
          <w:bCs/>
        </w:rPr>
      </w:pPr>
    </w:p>
    <w:p w14:paraId="7CB2F184" w14:textId="3FF83C58" w:rsidR="00DD2339" w:rsidRPr="0040503F" w:rsidRDefault="00DD2339" w:rsidP="0040503F">
      <w:pPr>
        <w:rPr>
          <w:rFonts w:ascii="Times New Roman" w:hAnsi="Times New Roman" w:cs="Times New Roman"/>
          <w:bCs/>
        </w:rPr>
      </w:pPr>
      <w:r w:rsidRPr="0040503F">
        <w:rPr>
          <w:rFonts w:ascii="Times New Roman" w:hAnsi="Times New Roman" w:cs="Times New Roman"/>
          <w:bCs/>
        </w:rPr>
        <w:t xml:space="preserve">We verified PCR amplification by visualizing 3-4 </w:t>
      </w:r>
      <w:proofErr w:type="spellStart"/>
      <w:r w:rsidR="0040503F">
        <w:rPr>
          <w:rFonts w:ascii="Times New Roman" w:hAnsi="Times New Roman" w:cs="Times New Roman"/>
          <w:bCs/>
        </w:rPr>
        <w:t>u</w:t>
      </w:r>
      <w:r w:rsidRPr="0040503F">
        <w:rPr>
          <w:rFonts w:ascii="Times New Roman" w:hAnsi="Times New Roman" w:cs="Times New Roman"/>
          <w:bCs/>
        </w:rPr>
        <w:t>L</w:t>
      </w:r>
      <w:proofErr w:type="spellEnd"/>
      <w:r w:rsidRPr="0040503F">
        <w:rPr>
          <w:rFonts w:ascii="Times New Roman" w:hAnsi="Times New Roman" w:cs="Times New Roman"/>
          <w:bCs/>
        </w:rPr>
        <w:t xml:space="preserve"> of each PCR product in a 1.5% agarose gel using </w:t>
      </w:r>
      <w:proofErr w:type="spellStart"/>
      <w:r w:rsidRPr="0040503F">
        <w:rPr>
          <w:rFonts w:ascii="Times New Roman" w:hAnsi="Times New Roman" w:cs="Times New Roman"/>
          <w:bCs/>
        </w:rPr>
        <w:t>GelRed</w:t>
      </w:r>
      <w:proofErr w:type="spellEnd"/>
      <w:r w:rsidRPr="0040503F">
        <w:rPr>
          <w:rFonts w:ascii="Times New Roman" w:hAnsi="Times New Roman" w:cs="Times New Roman"/>
          <w:bCs/>
        </w:rPr>
        <w:t xml:space="preserve"> (</w:t>
      </w:r>
      <w:proofErr w:type="spellStart"/>
      <w:r w:rsidRPr="0040503F">
        <w:rPr>
          <w:rFonts w:ascii="Times New Roman" w:hAnsi="Times New Roman" w:cs="Times New Roman"/>
          <w:bCs/>
        </w:rPr>
        <w:t>Biotium</w:t>
      </w:r>
      <w:proofErr w:type="spellEnd"/>
      <w:r w:rsidRPr="0040503F">
        <w:rPr>
          <w:rFonts w:ascii="Times New Roman" w:hAnsi="Times New Roman" w:cs="Times New Roman"/>
          <w:bCs/>
        </w:rPr>
        <w:t xml:space="preserve">) at 100V for 30-40 minutes. Gels were visualized with a Bio-Rad Gel Doc XR+ imager using Image Lab 5.0. We kept samples for which both duplicates successfully amplified during the PCR steps and only kept samples on PCR runs in which both negative control duplicates resulted in no product detection by gel electrophoresis. For successful samples, we combined duplicates and mixed with an </w:t>
      </w:r>
      <w:proofErr w:type="spellStart"/>
      <w:r w:rsidRPr="0040503F">
        <w:rPr>
          <w:rFonts w:ascii="Times New Roman" w:hAnsi="Times New Roman" w:cs="Times New Roman"/>
          <w:bCs/>
        </w:rPr>
        <w:t>Ampure</w:t>
      </w:r>
      <w:proofErr w:type="spellEnd"/>
      <w:r w:rsidRPr="0040503F">
        <w:rPr>
          <w:rFonts w:ascii="Times New Roman" w:hAnsi="Times New Roman" w:cs="Times New Roman"/>
          <w:bCs/>
        </w:rPr>
        <w:t xml:space="preserve"> XP bead-to-DNA ratio of 0.7x. We determined the average length of the gene region using an Agilent </w:t>
      </w:r>
      <w:proofErr w:type="spellStart"/>
      <w:r w:rsidRPr="0040503F">
        <w:rPr>
          <w:rFonts w:ascii="Times New Roman" w:hAnsi="Times New Roman" w:cs="Times New Roman"/>
          <w:bCs/>
        </w:rPr>
        <w:t>TapeStation</w:t>
      </w:r>
      <w:proofErr w:type="spellEnd"/>
      <w:r w:rsidRPr="0040503F">
        <w:rPr>
          <w:rFonts w:ascii="Times New Roman" w:hAnsi="Times New Roman" w:cs="Times New Roman"/>
          <w:bCs/>
        </w:rPr>
        <w:t xml:space="preserve"> with a D1000 </w:t>
      </w:r>
      <w:proofErr w:type="spellStart"/>
      <w:r w:rsidRPr="0040503F">
        <w:rPr>
          <w:rFonts w:ascii="Times New Roman" w:hAnsi="Times New Roman" w:cs="Times New Roman"/>
          <w:bCs/>
        </w:rPr>
        <w:t>ScreenTape</w:t>
      </w:r>
      <w:proofErr w:type="spellEnd"/>
      <w:r w:rsidRPr="0040503F">
        <w:rPr>
          <w:rFonts w:ascii="Times New Roman" w:hAnsi="Times New Roman" w:cs="Times New Roman"/>
          <w:bCs/>
        </w:rPr>
        <w:t xml:space="preserve"> System following the standard protocol from the quick start guide. We then quantified these final PCR products using a Qubit fluorometer and a high sensitivity kit with 1</w:t>
      </w:r>
      <w:r w:rsidR="0040503F">
        <w:rPr>
          <w:rFonts w:ascii="Times New Roman" w:hAnsi="Times New Roman" w:cs="Times New Roman"/>
          <w:bCs/>
        </w:rPr>
        <w:t>u</w:t>
      </w:r>
      <w:r w:rsidRPr="0040503F">
        <w:rPr>
          <w:rFonts w:ascii="Times New Roman" w:hAnsi="Times New Roman" w:cs="Times New Roman"/>
          <w:bCs/>
        </w:rPr>
        <w:t>L of sample per reaction tube and diluted each sample in 10mM TRIS to a final concentration of 5nM.</w:t>
      </w:r>
    </w:p>
    <w:p w14:paraId="77E856A7" w14:textId="77777777" w:rsidR="00DD2339" w:rsidRPr="0040503F" w:rsidRDefault="00DD2339" w:rsidP="0040503F">
      <w:pPr>
        <w:rPr>
          <w:rFonts w:ascii="Times New Roman" w:hAnsi="Times New Roman" w:cs="Times New Roman"/>
          <w:bCs/>
        </w:rPr>
      </w:pPr>
    </w:p>
    <w:p w14:paraId="27512EB1" w14:textId="37314974" w:rsidR="00DD2339" w:rsidRPr="0040503F" w:rsidRDefault="00D540B6" w:rsidP="0040503F">
      <w:pPr>
        <w:rPr>
          <w:rFonts w:ascii="Times New Roman" w:hAnsi="Times New Roman" w:cs="Times New Roman"/>
          <w:bCs/>
        </w:rPr>
      </w:pPr>
      <w:r>
        <w:rPr>
          <w:rFonts w:ascii="Times New Roman" w:hAnsi="Times New Roman" w:cs="Times New Roman"/>
          <w:bCs/>
        </w:rPr>
        <w:lastRenderedPageBreak/>
        <w:t>Because of the sample size and the need for a large number of sequences per predator in order to detect rarer prey DNA (</w:t>
      </w:r>
      <w:proofErr w:type="spellStart"/>
      <w:r>
        <w:rPr>
          <w:rFonts w:ascii="Times New Roman" w:hAnsi="Times New Roman" w:cs="Times New Roman"/>
          <w:bCs/>
        </w:rPr>
        <w:t>Krehenwinkel</w:t>
      </w:r>
      <w:proofErr w:type="spellEnd"/>
      <w:r>
        <w:rPr>
          <w:rFonts w:ascii="Times New Roman" w:hAnsi="Times New Roman" w:cs="Times New Roman"/>
          <w:bCs/>
        </w:rPr>
        <w:t xml:space="preserve">, </w:t>
      </w:r>
      <w:proofErr w:type="spellStart"/>
      <w:r>
        <w:rPr>
          <w:rFonts w:ascii="Times New Roman" w:hAnsi="Times New Roman" w:cs="Times New Roman"/>
          <w:bCs/>
        </w:rPr>
        <w:t>miller-ter</w:t>
      </w:r>
      <w:proofErr w:type="spellEnd"/>
      <w:r>
        <w:rPr>
          <w:rFonts w:ascii="Times New Roman" w:hAnsi="Times New Roman" w:cs="Times New Roman"/>
          <w:bCs/>
        </w:rPr>
        <w:t xml:space="preserve"> Kuile, supplementary), we ran samples for this study across four separate sequencing runs. All individuals within a predator species were sequenced on the same run and each run contained </w:t>
      </w:r>
      <w:r w:rsidR="009D716C">
        <w:rPr>
          <w:rFonts w:ascii="Times New Roman" w:hAnsi="Times New Roman" w:cs="Times New Roman"/>
          <w:bCs/>
        </w:rPr>
        <w:t>one</w:t>
      </w:r>
      <w:r>
        <w:rPr>
          <w:rFonts w:ascii="Times New Roman" w:hAnsi="Times New Roman" w:cs="Times New Roman"/>
          <w:bCs/>
        </w:rPr>
        <w:t xml:space="preserve"> to </w:t>
      </w:r>
      <w:r w:rsidR="009D716C">
        <w:rPr>
          <w:rFonts w:ascii="Times New Roman" w:hAnsi="Times New Roman" w:cs="Times New Roman"/>
          <w:bCs/>
        </w:rPr>
        <w:t>five</w:t>
      </w:r>
      <w:r>
        <w:rPr>
          <w:rFonts w:ascii="Times New Roman" w:hAnsi="Times New Roman" w:cs="Times New Roman"/>
          <w:bCs/>
        </w:rPr>
        <w:t xml:space="preserve"> predator species (TABLE). </w:t>
      </w:r>
      <w:r w:rsidR="0059261E">
        <w:rPr>
          <w:rFonts w:ascii="Times New Roman" w:hAnsi="Times New Roman" w:cs="Times New Roman"/>
          <w:bCs/>
        </w:rPr>
        <w:t xml:space="preserve">We ran </w:t>
      </w:r>
      <w:r w:rsidR="00BE76F0">
        <w:rPr>
          <w:rFonts w:ascii="Times New Roman" w:hAnsi="Times New Roman" w:cs="Times New Roman"/>
          <w:bCs/>
        </w:rPr>
        <w:t>19</w:t>
      </w:r>
      <w:r w:rsidR="0059261E">
        <w:rPr>
          <w:rFonts w:ascii="Times New Roman" w:hAnsi="Times New Roman" w:cs="Times New Roman"/>
          <w:bCs/>
        </w:rPr>
        <w:t xml:space="preserve"> samples </w:t>
      </w:r>
      <w:r w:rsidR="00BE76F0">
        <w:rPr>
          <w:rFonts w:ascii="Times New Roman" w:hAnsi="Times New Roman" w:cs="Times New Roman"/>
          <w:bCs/>
        </w:rPr>
        <w:t>of one predator species (</w:t>
      </w:r>
      <w:r w:rsidR="00BE76F0">
        <w:rPr>
          <w:rFonts w:ascii="Times New Roman" w:hAnsi="Times New Roman" w:cs="Times New Roman"/>
          <w:bCs/>
          <w:i/>
          <w:iCs/>
        </w:rPr>
        <w:t xml:space="preserve">H. </w:t>
      </w:r>
      <w:proofErr w:type="spellStart"/>
      <w:r w:rsidR="00BE76F0">
        <w:rPr>
          <w:rFonts w:ascii="Times New Roman" w:hAnsi="Times New Roman" w:cs="Times New Roman"/>
          <w:bCs/>
          <w:i/>
          <w:iCs/>
        </w:rPr>
        <w:t>venatoria</w:t>
      </w:r>
      <w:proofErr w:type="spellEnd"/>
      <w:r w:rsidR="00BE76F0">
        <w:rPr>
          <w:rFonts w:ascii="Times New Roman" w:hAnsi="Times New Roman" w:cs="Times New Roman"/>
          <w:bCs/>
        </w:rPr>
        <w:t xml:space="preserve">) </w:t>
      </w:r>
      <w:r w:rsidR="0059261E">
        <w:rPr>
          <w:rFonts w:ascii="Times New Roman" w:hAnsi="Times New Roman" w:cs="Times New Roman"/>
          <w:bCs/>
        </w:rPr>
        <w:t>across all runs to quantify run-to-run variation in sequencing</w:t>
      </w:r>
      <w:r w:rsidR="006C4841">
        <w:rPr>
          <w:rFonts w:ascii="Times New Roman" w:hAnsi="Times New Roman" w:cs="Times New Roman"/>
          <w:bCs/>
        </w:rPr>
        <w:t xml:space="preserve"> (Supplement repeated measures ANOVA)</w:t>
      </w:r>
      <w:r w:rsidR="0059261E">
        <w:rPr>
          <w:rFonts w:ascii="Times New Roman" w:hAnsi="Times New Roman" w:cs="Times New Roman"/>
          <w:bCs/>
        </w:rPr>
        <w:t xml:space="preserve">. </w:t>
      </w:r>
      <w:r>
        <w:rPr>
          <w:rFonts w:ascii="Times New Roman" w:hAnsi="Times New Roman" w:cs="Times New Roman"/>
          <w:bCs/>
        </w:rPr>
        <w:t>For each run, w</w:t>
      </w:r>
      <w:r w:rsidR="00DD2339" w:rsidRPr="0040503F">
        <w:rPr>
          <w:rFonts w:ascii="Times New Roman" w:hAnsi="Times New Roman" w:cs="Times New Roman"/>
          <w:bCs/>
        </w:rPr>
        <w:t xml:space="preserve">e multiplexed all samples along with one negative control and two PCR4-TOPO TA vectors (Invitrogen, Carlsbad, CA, USA) containing the internal transcribed spacer 1 region from two fungal species as positive controls (GenBank accession numbers: MG840195 and MG840196;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{"citationItems":[{"id":"ITEM-1","itemData":{"DOI":"10.1371/journal.pone.0040863","ISSN":"19326203","abstract":"The kingdom Fungi is estimated to include 1.5 million or more species, playing key roles as decomposers, mutualists, and parasites in every biome on the earth. To comprehensively understand the diversity and ecology of this huge kingdom, DNA barcoding targeting the internal transcribed spacer (ITS) region of the nuclear ribosomal repeat has been regarded as a prerequisite procedure. By extensively surveying ITS sequences in public databases, we designed new ITS primers with improved coverage across diverse taxonomic groups of fungi compared to existing primers. An in silico analysis based on public sequence databases indicated that the newly designed primers matched 99% of ascomycete and basidiomycete ITS taxa (species, subspecies or varieties), causing little taxonomic bias toward either fungal group. Two of the newly designed primers could inhibit the amplification of plant sequences and would enable the selective investigation of fungal communities in mycorrhizal associations, soil, and other types of environmental samples. Optimal PCR conditions for the primers were explored in an in vitro investigation. The new primers developed in this study will provide a basis for ecological studies on the diversity and community structures of fungi in the era of massive DNA sequencing. © 2012 Toju et al.","author":[{"dropping-particle":"","family":"Toju","given":"Hirokazu","non-dropping-particle":"","parse-names":false,"suffix":""},{"dropping-particle":"","family":"Tanabe","given":"Akifumi S.","non-dropping-particle":"","parse-names":false,"suffix":""},{"dropping-particle":"","family":"Yamamoto","given":"Satoshi","non-dropping-particle":"","parse-names":false,"suffix":""},{"dropping-particle":"","family":"Sato","given":"Hirotoshi","non-dropping-particle":"","parse-names":false,"suffix":""}],"container-title":"PLoS ONE","id":"ITEM-1","issue":"7","issued":{"date-parts":[["2012"]]},"title":"High-coverage ITS primers for the DNA-based identification of ascomycetes and basidiomycetes in environmental samples","type":"article-journal","volume":"7"},"uris":["http://www.mendeley.com/documents/?uuid=faad1b0d-0f75-467a-9bc1-b8dce5c3841c"]},{"id":"ITEM-2","itemData":{"author":[{"dropping-particle":"","family":"Apigo","given":"Austen","non-dropping-particle":"","parse-names":false,"suffix":""},{"dropping-particle":"","family":"Oono","given":"Ryoko","non-dropping-particle":"","parse-names":false,"suffix":""}],"id":"ITEM-2","issued":{"date-parts":[["2018"]]},"title":"MG840195 and MG840196","type":"report"},"uris":["http://www.mendeley.com/documents/?uuid=3d3f97ff-e88b-4e64-ae41-a00b61918d68"]},{"id":"ITEM-3","itemData":{"DOI":"10.1093/nar/gkv1276","ISSN":"13624962","abstract":"GenBank® (www.ncbi.nlm.nih.gov/genbank/) is a comprehensive database that contains publicly available nucleotide sequences for over 340 000 formally described species. Recent developments include a new starting page for submitters, a shift toward using accession.version identifiers rather than GI numbers, a wizard for submitting 16S rRNA sequences, and an Identical Protein Report to address growing issues of data redundancy. GenBank organizes the sequence data received from individual laboratories and largescale sequencing projects into 18 divisions, and Gen Bank staff assign unique accession.version identifiers upon data receipt. Most submitters use the web-based BankIt or standalone Sequin programs. Daily data exchange with the European Nucleotide Archive (ENA) and the DNA Data Bank of Japan (DDBJ) ensures worldwide coverage. GenBank is accessible through the nuccore, nucest, and nucgss databases of the Entrez retrieval system, which integrates these records with a variety of other data including taxonomy nodes, genomes, protein structures, and biomedical journal literature in PubMed. BLAST provides sequence similarity searches of GenBank and other sequence databases. Complete bimonthly releases and daily updates of the GenBank database are available by FTP.","author":[{"dropping-particle":"","family":"Clark","given":"Karen","non-dropping-particle":"","parse-names":false,"suffix":""},{"dropping-particle":"","family":"Karsch-Mizrachi","given":"Ilene","non-dropping-particle":"","parse-names":false,"suffix":""},{"dropping-particle":"","family":"Lipman","given":"David J.","non-dropping-particle":"","parse-names":false,"suffix":""},{"dropping-particle":"","family":"Ostell","given":"James","non-dropping-particle":"","parse-names":false,"suffix":""},{"dropping-particle":"","family":"Sayers","given":"Eric W.","non-dropping-particle":"","parse-names":false,"suffix":""}],"container-title":"Nucleic Acids Research","id":"ITEM-3","issue":"D1","issued":{"date-parts":[["2016"]]},"page":"D67-D72","title":"GenBank","type":"article-journal","volume":"44"},"uris":["http://www.mendeley.com/documents/?uuid=de9402a9-b535-4a83-b76f-26110024a564"]}],"mendeley":{"formattedCitation":"(Apigo &amp; Oono, 2018; Clark et al., 2016; Toju et al., 2012)","manualFormatting":"Apigo &amp; Oono, 2018; Clark et al., 2016; Toju et al., 2012)","plainTextFormattedCitation":"(Apigo &amp; Oono, 2018; Clark et al., 2016; Toju et al., 2012)","previouslyFormattedCitation":"(Apigo &amp; Oono, 2018; Clark et al., 2016; Toju et al., 2012)"},"properties":{"noteIndex":0},"schema":"https://github.com/citation-style-language/schema/raw/master/csl-citation.json"}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Apigo &amp; Oono, 2018; Clark et al., 2016; Toju et al., 2012)</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submitted multiplexed samples for sequencing at the University of California, Santa Barbara Biological Nanostructures Laboratory Genetics Core. Samples were run on an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platform (v2 chemistry, 500 cycles, paired-end reads) with a 15% spike-in of </w:t>
      </w:r>
      <w:proofErr w:type="spellStart"/>
      <w:r w:rsidR="00DD2339" w:rsidRPr="0040503F">
        <w:rPr>
          <w:rFonts w:ascii="Times New Roman" w:hAnsi="Times New Roman" w:cs="Times New Roman"/>
          <w:bCs/>
        </w:rPr>
        <w:t>PhiX</w:t>
      </w:r>
      <w:proofErr w:type="spellEnd"/>
      <w:r w:rsidR="00DD2339" w:rsidRPr="0040503F">
        <w:rPr>
          <w:rFonts w:ascii="Times New Roman" w:hAnsi="Times New Roman" w:cs="Times New Roman"/>
          <w:bCs/>
        </w:rPr>
        <w:t xml:space="preserve">. Following sequencing, samples were demultiplexed using Illumina’s bcl2fastq conversion software (v2.20) at the Core facility. Our full protocol from DNA extraction through submission for Illumina sequencing can be found in </w:t>
      </w:r>
      <w:proofErr w:type="spellStart"/>
      <w:r>
        <w:rPr>
          <w:rFonts w:ascii="Times New Roman" w:hAnsi="Times New Roman" w:cs="Times New Roman"/>
          <w:bCs/>
        </w:rPr>
        <w:t>Miller-ter</w:t>
      </w:r>
      <w:proofErr w:type="spellEnd"/>
      <w:r>
        <w:rPr>
          <w:rFonts w:ascii="Times New Roman" w:hAnsi="Times New Roman" w:cs="Times New Roman"/>
          <w:bCs/>
        </w:rPr>
        <w:t xml:space="preserve"> Kuile </w:t>
      </w:r>
      <w:proofErr w:type="gramStart"/>
      <w:r>
        <w:rPr>
          <w:rFonts w:ascii="Times New Roman" w:hAnsi="Times New Roman" w:cs="Times New Roman"/>
          <w:bCs/>
        </w:rPr>
        <w:t>et al.</w:t>
      </w:r>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w:t>
      </w:r>
    </w:p>
    <w:p w14:paraId="70791709" w14:textId="77777777" w:rsidR="00DD2339" w:rsidRPr="0040503F" w:rsidRDefault="00DD2339" w:rsidP="0040503F">
      <w:pPr>
        <w:rPr>
          <w:rFonts w:ascii="Times New Roman" w:hAnsi="Times New Roman" w:cs="Times New Roman"/>
          <w:bCs/>
        </w:rPr>
      </w:pPr>
    </w:p>
    <w:p w14:paraId="7075B332" w14:textId="441A0CAB" w:rsidR="00DD2339" w:rsidRPr="0040503F" w:rsidRDefault="00DD2339" w:rsidP="0040503F">
      <w:pPr>
        <w:rPr>
          <w:rFonts w:ascii="Times New Roman" w:hAnsi="Times New Roman" w:cs="Times New Roman"/>
          <w:bCs/>
          <w:i/>
          <w:iCs/>
        </w:rPr>
      </w:pPr>
      <w:r w:rsidRPr="0040503F">
        <w:rPr>
          <w:rFonts w:ascii="Times New Roman" w:hAnsi="Times New Roman" w:cs="Times New Roman"/>
          <w:bCs/>
          <w:i/>
          <w:iCs/>
        </w:rPr>
        <w:t xml:space="preserve">Sequence merging, filtering, and clustering with </w:t>
      </w:r>
      <w:r w:rsidR="00A20941">
        <w:rPr>
          <w:rFonts w:ascii="Times New Roman" w:hAnsi="Times New Roman" w:cs="Times New Roman"/>
          <w:bCs/>
          <w:i/>
          <w:iCs/>
        </w:rPr>
        <w:t>DADA2</w:t>
      </w:r>
    </w:p>
    <w:p w14:paraId="7F3EFB34" w14:textId="1C7883AB" w:rsidR="00167E69" w:rsidRDefault="00DD2339" w:rsidP="0040503F">
      <w:pPr>
        <w:rPr>
          <w:rFonts w:ascii="Times New Roman" w:hAnsi="Times New Roman" w:cs="Times New Roman"/>
          <w:bCs/>
        </w:rPr>
      </w:pPr>
      <w:r w:rsidRPr="0040503F">
        <w:rPr>
          <w:rFonts w:ascii="Times New Roman" w:hAnsi="Times New Roman" w:cs="Times New Roman"/>
          <w:bCs/>
        </w:rPr>
        <w:t xml:space="preserve">We merged, filtered (max </w:t>
      </w:r>
      <w:proofErr w:type="spellStart"/>
      <w:r w:rsidRPr="0040503F">
        <w:rPr>
          <w:rFonts w:ascii="Times New Roman" w:hAnsi="Times New Roman" w:cs="Times New Roman"/>
          <w:bCs/>
        </w:rPr>
        <w:t>ee</w:t>
      </w:r>
      <w:proofErr w:type="spellEnd"/>
      <w:r w:rsidRPr="0040503F">
        <w:rPr>
          <w:rFonts w:ascii="Times New Roman" w:hAnsi="Times New Roman" w:cs="Times New Roman"/>
          <w:bCs/>
        </w:rPr>
        <w:t xml:space="preserve">  = 1.0), and denoised (clustered) our sequences around amplicon sequence variants (ASVs) using the </w:t>
      </w:r>
      <w:r w:rsidR="0040503F">
        <w:rPr>
          <w:rFonts w:ascii="Times New Roman" w:hAnsi="Times New Roman" w:cs="Times New Roman"/>
          <w:bCs/>
        </w:rPr>
        <w:t>DADA2</w:t>
      </w:r>
      <w:r w:rsidRPr="0040503F">
        <w:rPr>
          <w:rFonts w:ascii="Times New Roman" w:hAnsi="Times New Roman" w:cs="Times New Roman"/>
          <w:bCs/>
        </w:rPr>
        <w:t xml:space="preserve"> algorithm</w:t>
      </w:r>
      <w:r w:rsidR="00FF0150">
        <w:rPr>
          <w:rFonts w:ascii="Times New Roman" w:hAnsi="Times New Roman" w:cs="Times New Roman"/>
          <w:bCs/>
        </w:rPr>
        <w:t xml:space="preserve"> in R</w:t>
      </w:r>
      <w:r w:rsidRPr="0040503F">
        <w:rPr>
          <w:rFonts w:ascii="Times New Roman" w:hAnsi="Times New Roman" w:cs="Times New Roman"/>
          <w:bCs/>
        </w:rPr>
        <w:t xml:space="preserve"> (</w:t>
      </w:r>
      <w:r w:rsidR="00FF0150" w:rsidRPr="0040503F">
        <w:rPr>
          <w:rFonts w:ascii="Times New Roman" w:hAnsi="Times New Roman" w:cs="Times New Roman"/>
          <w:bCs/>
        </w:rPr>
        <w:t xml:space="preserve">dada2 package version 1.1.14.0; </w:t>
      </w:r>
      <w:r w:rsidR="00FF0150" w:rsidRPr="0040503F">
        <w:rPr>
          <w:rFonts w:ascii="Times New Roman" w:hAnsi="Times New Roman" w:cs="Times New Roman"/>
          <w:bCs/>
        </w:rPr>
        <w:fldChar w:fldCharType="begin" w:fldLock="1"/>
      </w:r>
      <w:r w:rsidR="00FF0150" w:rsidRPr="0040503F">
        <w:rPr>
          <w:rFonts w:ascii="Times New Roman" w:hAnsi="Times New Roman" w:cs="Times New Roman"/>
          <w:bCs/>
        </w:rPr>
        <w:instrText>ADDIN CSL_CITATION {"citationItems":[{"id":"ITEM-1","itemData":{"DOI":"10.1038/nmeth.3869","ISSN":"15487105","abstract":"We present the open-source software package DADA2 for modeling and correcting Illumina-sequenced amplicon errors (https://github.com/benjjneb/dada2). DADA2 infers sample sequences exactly and resolves differences of as little as 1 nucleotide. In several mock communities, DADA2 identified more real variants and output fewer spurious sequences than other methods. We applied DADA2 to vaginal samples from a cohort of pregnant women, revealing a diversity of previously undetected Lactobacillus crispatus variants.","author":[{"dropping-particle":"","family":"Callahan","given":"Benjamin J.","non-dropping-particle":"","parse-names":false,"suffix":""},{"dropping-particle":"","family":"McMurdie","given":"Paul J.","non-dropping-particle":"","parse-names":false,"suffix":""},{"dropping-particle":"","family":"Rosen","given":"Michael J.","non-dropping-particle":"","parse-names":false,"suffix":""},{"dropping-particle":"","family":"Han","given":"Andrew W.","non-dropping-particle":"","parse-names":false,"suffix":""},{"dropping-particle":"","family":"Johnson","given":"Amy Jo A.","non-dropping-particle":"","parse-names":false,"suffix":""},{"dropping-particle":"","family":"Holmes","given":"Susan P.","non-dropping-particle":"","parse-names":false,"suffix":""}],"container-title":"Nature Methods","id":"ITEM-1","issue":"7","issued":{"date-parts":[["2016"]]},"page":"581-583","title":"DADA2: High-resolution sample inference from Illumina amplicon data","type":"article-journal","volume":"13"},"uris":["http://www.mendeley.com/documents/?uuid=20cd3b52-ef7e-4a12-a1f6-ba2f9022543b"]}],"mendeley":{"formattedCitation":"(Callahan et al., 2016)","manualFormatting":"Callahan et al., 2016)","plainTextFormattedCitation":"(Callahan et al., 2016)","previouslyFormattedCitation":"(Callahan et al., 2016)"},"properties":{"noteIndex":0},"schema":"https://github.com/citation-style-language/schema/raw/master/csl-citation.json"}</w:instrText>
      </w:r>
      <w:r w:rsidR="00FF0150" w:rsidRPr="0040503F">
        <w:rPr>
          <w:rFonts w:ascii="Times New Roman" w:hAnsi="Times New Roman" w:cs="Times New Roman"/>
          <w:bCs/>
        </w:rPr>
        <w:fldChar w:fldCharType="separate"/>
      </w:r>
      <w:r w:rsidR="00FF0150" w:rsidRPr="0040503F">
        <w:rPr>
          <w:rFonts w:ascii="Times New Roman" w:hAnsi="Times New Roman" w:cs="Times New Roman"/>
          <w:bCs/>
          <w:noProof/>
        </w:rPr>
        <w:t>Callahan et al., 2016)</w:t>
      </w:r>
      <w:r w:rsidR="00FF0150" w:rsidRPr="0040503F">
        <w:rPr>
          <w:rFonts w:ascii="Times New Roman" w:hAnsi="Times New Roman" w:cs="Times New Roman"/>
          <w:bCs/>
        </w:rPr>
        <w:fldChar w:fldCharType="end"/>
      </w:r>
      <w:r w:rsidRPr="0040503F">
        <w:rPr>
          <w:rFonts w:ascii="Times New Roman" w:hAnsi="Times New Roman" w:cs="Times New Roman"/>
          <w:bCs/>
        </w:rPr>
        <w:t>. This ASV denoising approach incorporates sequence abundance, quality, and error rates to cluster reads in high throughput sequencing data into a smaller subset of biological units</w:t>
      </w:r>
      <w:r w:rsidR="00C87714">
        <w:rPr>
          <w:rFonts w:ascii="Times New Roman" w:hAnsi="Times New Roman" w:cs="Times New Roman"/>
          <w:bCs/>
        </w:rPr>
        <w:t xml:space="preserve">. </w:t>
      </w:r>
      <w:r w:rsidRPr="0040503F">
        <w:rPr>
          <w:rFonts w:ascii="Times New Roman" w:hAnsi="Times New Roman" w:cs="Times New Roman"/>
          <w:bCs/>
        </w:rPr>
        <w:t xml:space="preserve">Prior to denoising with </w:t>
      </w:r>
      <w:r w:rsidR="00FF0150">
        <w:rPr>
          <w:rFonts w:ascii="Times New Roman" w:hAnsi="Times New Roman" w:cs="Times New Roman"/>
          <w:bCs/>
        </w:rPr>
        <w:t>DADA2</w:t>
      </w:r>
      <w:r w:rsidRPr="0040503F">
        <w:rPr>
          <w:rFonts w:ascii="Times New Roman" w:hAnsi="Times New Roman" w:cs="Times New Roman"/>
          <w:bCs/>
        </w:rPr>
        <w:t xml:space="preserve">, we used </w:t>
      </w:r>
      <w:proofErr w:type="spellStart"/>
      <w:r w:rsidRPr="0040503F">
        <w:rPr>
          <w:rFonts w:ascii="Times New Roman" w:hAnsi="Times New Roman" w:cs="Times New Roman"/>
          <w:bCs/>
        </w:rPr>
        <w:t>cutadapt</w:t>
      </w:r>
      <w:proofErr w:type="spellEnd"/>
      <w:r w:rsidRPr="0040503F">
        <w:rPr>
          <w:rFonts w:ascii="Times New Roman" w:hAnsi="Times New Roman" w:cs="Times New Roman"/>
          <w:bCs/>
        </w:rPr>
        <w:t xml:space="preserve"> (version 1.18,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{"citationItems":[{"id":"ITEM-1","itemData":{"ISSN":"19950756","abstract":"I","author":[{"dropping-particle":"","family":"Martin","given":"Marcel","non-dropping-particle":"","parse-names":false,"suffix":""}],"container-title":"EMBNet Journal","id":"ITEM-1","issue":"1","issued":{"date-parts":[["2011"]]},"title":"Cutadapt removes adapter sequences from high-throughput sequencing reads","type":"article-journal","volume":"17"},"uris":["http://www.mendeley.com/documents/?uuid=3a1b73cb-c7b6-42c2-a469-0eac423e1468"]}],"mendeley":{"formattedCitation":"(Martin, 2011)","manualFormatting":"Martin, 2011)","plainTextFormattedCitation":"(Martin, 2011)","previouslyFormattedCitation":"(Martin, 2011)"},"properties":{"noteIndex":0},"schema":"https://github.com/citation-style-language/schema/raw/master/csl-citation.json"}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Martin, 2011)</w:t>
      </w:r>
      <w:r w:rsidRPr="0040503F">
        <w:rPr>
          <w:rFonts w:ascii="Times New Roman" w:hAnsi="Times New Roman" w:cs="Times New Roman"/>
          <w:bCs/>
        </w:rPr>
        <w:fldChar w:fldCharType="end"/>
      </w:r>
      <w:r w:rsidRPr="0040503F">
        <w:rPr>
          <w:rFonts w:ascii="Times New Roman" w:hAnsi="Times New Roman" w:cs="Times New Roman"/>
          <w:bCs/>
        </w:rPr>
        <w:t xml:space="preserve"> to remove primers from each sequence. </w:t>
      </w:r>
      <w:r w:rsidR="00D540B6">
        <w:rPr>
          <w:rFonts w:ascii="Times New Roman" w:hAnsi="Times New Roman" w:cs="Times New Roman"/>
          <w:bCs/>
        </w:rPr>
        <w:t xml:space="preserve">We compared results to a similar protocol using the UNOISE3 algorithm (unoise3 function in </w:t>
      </w:r>
      <w:proofErr w:type="spellStart"/>
      <w:r w:rsidR="00D540B6">
        <w:rPr>
          <w:rFonts w:ascii="Times New Roman" w:hAnsi="Times New Roman" w:cs="Times New Roman"/>
          <w:bCs/>
        </w:rPr>
        <w:t>unoise</w:t>
      </w:r>
      <w:proofErr w:type="spellEnd"/>
      <w:r w:rsidR="00D540B6">
        <w:rPr>
          <w:rFonts w:ascii="Times New Roman" w:hAnsi="Times New Roman" w:cs="Times New Roman"/>
          <w:bCs/>
        </w:rPr>
        <w:t xml:space="preserve"> CITE EDGAR), but found that DADA2 gave more high-read abundance ASVs and so chose to perform all analyses using DADA2 data</w:t>
      </w:r>
      <w:r w:rsidR="00BE76F0">
        <w:rPr>
          <w:rFonts w:ascii="Times New Roman" w:hAnsi="Times New Roman" w:cs="Times New Roman"/>
          <w:bCs/>
        </w:rPr>
        <w:t xml:space="preserve"> (Supplementary Figure)</w:t>
      </w:r>
      <w:r w:rsidR="00D540B6">
        <w:rPr>
          <w:rFonts w:ascii="Times New Roman" w:hAnsi="Times New Roman" w:cs="Times New Roman"/>
          <w:bCs/>
        </w:rPr>
        <w:t xml:space="preserve">. We ran DADA2 </w:t>
      </w:r>
      <w:r w:rsidR="00167E69">
        <w:rPr>
          <w:rFonts w:ascii="Times New Roman" w:hAnsi="Times New Roman" w:cs="Times New Roman"/>
          <w:bCs/>
        </w:rPr>
        <w:t xml:space="preserve">on data from all sequencing runs combined but verified that this was appropriate by first ensuring that error rates per run were similar, following recommendations from the algorithm developers (Appendix Figure CITE). </w:t>
      </w:r>
    </w:p>
    <w:p w14:paraId="28F9FC38" w14:textId="194DB7AE" w:rsidR="00AA7DFB" w:rsidRDefault="00AA7DFB" w:rsidP="0040503F">
      <w:pPr>
        <w:rPr>
          <w:rFonts w:ascii="Times New Roman" w:hAnsi="Times New Roman" w:cs="Times New Roman"/>
          <w:bCs/>
        </w:rPr>
      </w:pPr>
    </w:p>
    <w:p w14:paraId="004DD3C9" w14:textId="31A7082A" w:rsidR="00AA7DFB" w:rsidRDefault="00E66E58" w:rsidP="00AA7DFB">
      <w:pPr>
        <w:rPr>
          <w:rFonts w:ascii="Times New Roman" w:hAnsi="Times New Roman" w:cs="Times New Roman"/>
          <w:i/>
          <w:iCs/>
        </w:rPr>
      </w:pPr>
      <w:r>
        <w:rPr>
          <w:rFonts w:ascii="Times New Roman" w:hAnsi="Times New Roman" w:cs="Times New Roman"/>
          <w:i/>
          <w:iCs/>
        </w:rPr>
        <w:t>Verifying s</w:t>
      </w:r>
      <w:r w:rsidR="00AA7DFB">
        <w:rPr>
          <w:rFonts w:ascii="Times New Roman" w:hAnsi="Times New Roman" w:cs="Times New Roman"/>
          <w:i/>
          <w:iCs/>
        </w:rPr>
        <w:t xml:space="preserve">equencing depth </w:t>
      </w:r>
    </w:p>
    <w:p w14:paraId="5AEC87EF" w14:textId="4E3DE979" w:rsidR="002634AD" w:rsidRDefault="002634AD" w:rsidP="0040503F">
      <w:pPr>
        <w:rPr>
          <w:rFonts w:ascii="Times New Roman" w:hAnsi="Times New Roman" w:cs="Times New Roman"/>
        </w:rPr>
      </w:pPr>
      <w:r>
        <w:rPr>
          <w:rFonts w:ascii="Times New Roman" w:hAnsi="Times New Roman" w:cs="Times New Roman"/>
        </w:rPr>
        <w:t xml:space="preserve">Using the output of the number of filtered and denoised sequences across ASVs from DADA2, we determined that each sample in our dataset had been sequenced with sufficient depth. To do this, we determined each sample’s sequencing depth using the </w:t>
      </w:r>
      <w:proofErr w:type="spellStart"/>
      <w:r>
        <w:rPr>
          <w:rFonts w:ascii="Times New Roman" w:hAnsi="Times New Roman" w:cs="Times New Roman"/>
        </w:rPr>
        <w:t>iNEXT</w:t>
      </w:r>
      <w:proofErr w:type="spellEnd"/>
      <w:r>
        <w:rPr>
          <w:rFonts w:ascii="Times New Roman" w:hAnsi="Times New Roman" w:cs="Times New Roman"/>
        </w:rPr>
        <w:t xml:space="preserve"> function in the </w:t>
      </w:r>
      <w:proofErr w:type="spellStart"/>
      <w:r>
        <w:rPr>
          <w:rFonts w:ascii="Times New Roman" w:hAnsi="Times New Roman" w:cs="Times New Roman"/>
        </w:rPr>
        <w:t>iNEXT</w:t>
      </w:r>
      <w:proofErr w:type="spellEnd"/>
      <w:r>
        <w:rPr>
          <w:rFonts w:ascii="Times New Roman" w:hAnsi="Times New Roman" w:cs="Times New Roman"/>
        </w:rPr>
        <w:t xml:space="preserve"> package in R (CITE).</w:t>
      </w:r>
      <w:r w:rsidR="00BE76F0">
        <w:rPr>
          <w:rFonts w:ascii="Times New Roman" w:hAnsi="Times New Roman" w:cs="Times New Roman"/>
        </w:rPr>
        <w:t xml:space="preserve"> We observed that some samples had low sequencing depth (&lt; 10,000 compared to 100,000+ in other samples) and chose to remove these samples from analyses. </w:t>
      </w:r>
      <w:r>
        <w:rPr>
          <w:rFonts w:ascii="Times New Roman" w:hAnsi="Times New Roman" w:cs="Times New Roman"/>
        </w:rPr>
        <w:t xml:space="preserve">To determine a cutoff for removing these low-sequence samples, we determined the lower quantiles from 0.05 - 0.2 with increments of 0.01 in our dataset (using the </w:t>
      </w:r>
      <w:proofErr w:type="gramStart"/>
      <w:r>
        <w:rPr>
          <w:rFonts w:ascii="Times New Roman" w:hAnsi="Times New Roman" w:cs="Times New Roman"/>
        </w:rPr>
        <w:t>quantile(</w:t>
      </w:r>
      <w:proofErr w:type="gramEnd"/>
      <w:r>
        <w:rPr>
          <w:rFonts w:ascii="Times New Roman" w:hAnsi="Times New Roman" w:cs="Times New Roman"/>
        </w:rPr>
        <w:t xml:space="preserve">) function in </w:t>
      </w:r>
      <w:r w:rsidR="00BE76F0">
        <w:rPr>
          <w:rFonts w:ascii="Times New Roman" w:hAnsi="Times New Roman" w:cs="Times New Roman"/>
        </w:rPr>
        <w:t xml:space="preserve">the stats </w:t>
      </w:r>
      <w:r>
        <w:rPr>
          <w:rFonts w:ascii="Times New Roman" w:hAnsi="Times New Roman" w:cs="Times New Roman"/>
        </w:rPr>
        <w:t xml:space="preserve">package) and </w:t>
      </w:r>
      <w:r w:rsidR="00BE76F0">
        <w:rPr>
          <w:rFonts w:ascii="Times New Roman" w:hAnsi="Times New Roman" w:cs="Times New Roman"/>
        </w:rPr>
        <w:t xml:space="preserve">determined the inflection point in these lower quantiles after which sequencing read abundance per sample increased the most between the two sets of samples. </w:t>
      </w:r>
    </w:p>
    <w:p w14:paraId="36C6BE08" w14:textId="01750543" w:rsidR="002350AD" w:rsidRDefault="002350AD" w:rsidP="0040503F">
      <w:pPr>
        <w:rPr>
          <w:rFonts w:ascii="Times New Roman" w:hAnsi="Times New Roman" w:cs="Times New Roman"/>
        </w:rPr>
      </w:pPr>
    </w:p>
    <w:p w14:paraId="1795D386" w14:textId="0254F440" w:rsidR="002350AD" w:rsidRPr="002350AD" w:rsidRDefault="002350AD" w:rsidP="002350AD">
      <w:pPr>
        <w:rPr>
          <w:rFonts w:ascii="Times New Roman" w:hAnsi="Times New Roman" w:cs="Times New Roman"/>
          <w:bCs/>
          <w:i/>
          <w:iCs/>
        </w:rPr>
      </w:pPr>
      <w:r>
        <w:rPr>
          <w:rFonts w:ascii="Times New Roman" w:hAnsi="Times New Roman" w:cs="Times New Roman"/>
          <w:bCs/>
          <w:i/>
          <w:iCs/>
        </w:rPr>
        <w:t>ASV taxonomic assignment with BLAST and BOLD</w:t>
      </w:r>
    </w:p>
    <w:p w14:paraId="7E380D25" w14:textId="3F3FB283" w:rsidR="003B291B" w:rsidRPr="003B291B" w:rsidRDefault="002350AD" w:rsidP="003B291B">
      <w:pPr>
        <w:rPr>
          <w:rFonts w:ascii="Times New Roman" w:eastAsia="Times New Roman" w:hAnsi="Times New Roman" w:cs="Times New Roman"/>
        </w:rPr>
      </w:pPr>
      <w:r w:rsidRPr="0040503F">
        <w:rPr>
          <w:rFonts w:ascii="Times New Roman" w:hAnsi="Times New Roman" w:cs="Times New Roman"/>
          <w:bCs/>
        </w:rPr>
        <w:t>From the output</w:t>
      </w:r>
      <w:r w:rsidR="00DC57D8">
        <w:rPr>
          <w:rFonts w:ascii="Times New Roman" w:hAnsi="Times New Roman" w:cs="Times New Roman"/>
          <w:bCs/>
        </w:rPr>
        <w:t xml:space="preserve"> of the DADA2 algorithm,</w:t>
      </w:r>
      <w:r w:rsidRPr="0040503F">
        <w:rPr>
          <w:rFonts w:ascii="Times New Roman" w:hAnsi="Times New Roman" w:cs="Times New Roman"/>
          <w:bCs/>
        </w:rPr>
        <w:t xml:space="preserve"> we created a list of unique ASVs and a matrix of ASV abundances across samples. We matched ASVs to taxonomies both in the GenBank and BOLD databases. For GenBank, we used BLAST (version 2.7.1) with the </w:t>
      </w:r>
      <w:proofErr w:type="spellStart"/>
      <w:r w:rsidRPr="0040503F">
        <w:rPr>
          <w:rFonts w:ascii="Times New Roman" w:hAnsi="Times New Roman" w:cs="Times New Roman"/>
          <w:bCs/>
        </w:rPr>
        <w:t>blastn</w:t>
      </w:r>
      <w:proofErr w:type="spellEnd"/>
      <w:r w:rsidRPr="0040503F">
        <w:rPr>
          <w:rFonts w:ascii="Times New Roman" w:hAnsi="Times New Roman" w:cs="Times New Roman"/>
          <w:bCs/>
        </w:rPr>
        <w:t xml:space="preserve"> command for taxonomic assignment of each ASV using the computing cluster at UC Santa Barbara, comparing </w:t>
      </w:r>
      <w:r w:rsidRPr="0040503F">
        <w:rPr>
          <w:rFonts w:ascii="Times New Roman" w:hAnsi="Times New Roman" w:cs="Times New Roman"/>
          <w:bCs/>
        </w:rPr>
        <w:lastRenderedPageBreak/>
        <w:t xml:space="preserve">against the GenBank nucleotide database with an </w:t>
      </w:r>
      <w:proofErr w:type="spellStart"/>
      <w:r w:rsidRPr="0040503F">
        <w:rPr>
          <w:rFonts w:ascii="Times New Roman" w:hAnsi="Times New Roman" w:cs="Times New Roman"/>
          <w:bCs/>
        </w:rPr>
        <w:t>evalue</w:t>
      </w:r>
      <w:proofErr w:type="spellEnd"/>
      <w:r w:rsidRPr="0040503F">
        <w:rPr>
          <w:rFonts w:ascii="Times New Roman" w:hAnsi="Times New Roman" w:cs="Times New Roman"/>
          <w:bCs/>
        </w:rPr>
        <w:t xml:space="preserve"> of 0.01 (downloaded on November 20, 2019). We visualized and exported taxonomic alignment using MEGAN Community Edition (version 6.18.0, </w:t>
      </w:r>
      <w:r w:rsidRPr="0040503F">
        <w:rPr>
          <w:rFonts w:ascii="Times New Roman" w:hAnsi="Times New Roman" w:cs="Times New Roman"/>
          <w:bCs/>
        </w:rPr>
        <w:fldChar w:fldCharType="begin" w:fldLock="1"/>
      </w:r>
      <w:r w:rsidRPr="0040503F">
        <w:rPr>
          <w:rFonts w:ascii="Times New Roman" w:hAnsi="Times New Roman" w:cs="Times New Roman"/>
          <w:bCs/>
        </w:rPr>
        <w:instrText>ADDIN CSL_CITATION {"citationItems":[{"id":"ITEM-1","itemData":{"DOI":"10.1371/journal.pcbi.1004957","ISSN":"15537358","abstract":"There is increasing interest in employing shotgun sequencing, rather than amplicon sequencing, to analyze microbiome samples. Typical projects may involve hundreds of samples and billions of sequencing reads. The comparison of such samples against a protein reference database generates billions of alignments and the analysis of such data is computationally challenging. To address this, we have substantially rewritten and extended our widely-used microbiome analysis tool MEGAN so as to facilitate the interactive analysis of the taxonomic and functional content of very large microbiome datasets. Other new features include a functional classifier called InterPro2GO, gene-centric read assembly, principal coordinate analysis of taxonomy and function, and support for metadata. The new program is called MEGAN Community Edition (CE) and is open source. By integrating MEGAN CE with our high-throughput DNA-to-protein alignment tool DIAMOND and by providing a new program MeganServer that allows access to metagenome analysis files hosted on a server, we provide a straightforward, yet powerful and complete pipeline for the analysis of metagenome shotgun sequences. We illustrate how to perform a full-scale computational analysis of a metagenomic sequencing project, involving 12 samples and 800 million reads, in less than three days on a single server. All source code is available here: https://github.com/danielhuson/megan-ce","author":[{"dropping-particle":"","family":"Huson","given":"Daniel H.","non-dropping-particle":"","parse-names":false,"suffix":""},{"dropping-particle":"","family":"Beier","given":"Sina","non-dropping-particle":"","parse-names":false,"suffix":""},{"dropping-particle":"","family":"Flade","given":"Isabell","non-dropping-particle":"","parse-names":false,"suffix":""},{"dropping-particle":"","family":"Górska","given":"Anna","non-dropping-particle":"","parse-names":false,"suffix":""},{"dropping-particle":"","family":"El-Hadidi","given":"Mohamed","non-dropping-particle":"","parse-names":false,"suffix":""},{"dropping-particle":"","family":"Mitra","given":"Suparna","non-dropping-particle":"","parse-names":false,"suffix":""},{"dropping-particle":"","family":"Ruscheweyh","given":"Hans Joachim","non-dropping-particle":"","parse-names":false,"suffix":""},{"dropping-particle":"","family":"Tappu","given":"Rewati","non-dropping-particle":"","parse-names":false,"suffix":""}],"container-title":"PLoS Computational Biology","id":"ITEM-1","issue":"6","issued":{"date-parts":[["2016"]]},"page":"1-12","title":"MEGAN Community Edition - Interactive Exploration and Analysis of Large-Scale Microbiome Sequencing Data","type":"article-journal","volume":"12"},"uris":["http://www.mendeley.com/documents/?uuid=ac2ef067-0159-4703-b782-5b37a8f77492"]}],"mendeley":{"formattedCitation":"(Huson et al., 2016)","manualFormatting":"Huson et al., 2016)","plainTextFormattedCitation":"(Huson et al., 2016)","previouslyFormattedCitation":"(Huson et al., 2016)"},"properties":{"noteIndex":0},"schema":"https://github.com/citation-style-language/schema/raw/master/csl-citation.json"}</w:instrText>
      </w:r>
      <w:r w:rsidRPr="0040503F">
        <w:rPr>
          <w:rFonts w:ascii="Times New Roman" w:hAnsi="Times New Roman" w:cs="Times New Roman"/>
          <w:bCs/>
        </w:rPr>
        <w:fldChar w:fldCharType="separate"/>
      </w:r>
      <w:r w:rsidRPr="0040503F">
        <w:rPr>
          <w:rFonts w:ascii="Times New Roman" w:hAnsi="Times New Roman" w:cs="Times New Roman"/>
          <w:bCs/>
          <w:noProof/>
        </w:rPr>
        <w:t>Huson et al., 2016)</w:t>
      </w:r>
      <w:r w:rsidRPr="0040503F">
        <w:rPr>
          <w:rFonts w:ascii="Times New Roman" w:hAnsi="Times New Roman" w:cs="Times New Roman"/>
          <w:bCs/>
        </w:rPr>
        <w:fldChar w:fldCharType="end"/>
      </w:r>
      <w:r w:rsidRPr="0040503F">
        <w:rPr>
          <w:rFonts w:ascii="Times New Roman" w:hAnsi="Times New Roman" w:cs="Times New Roman"/>
          <w:bCs/>
        </w:rPr>
        <w:t xml:space="preserve">, using default settings and selecting the subtree with all possible diet items for this species (Kingdom: Animalia, Clade: Bilateria). For BOLD taxonomic assignment, we used the BOLD </w:t>
      </w:r>
      <w:proofErr w:type="spellStart"/>
      <w:r w:rsidRPr="0040503F">
        <w:rPr>
          <w:rFonts w:ascii="Times New Roman" w:hAnsi="Times New Roman" w:cs="Times New Roman"/>
          <w:bCs/>
        </w:rPr>
        <w:t>IDEngine</w:t>
      </w:r>
      <w:proofErr w:type="spellEnd"/>
      <w:r w:rsidRPr="0040503F">
        <w:rPr>
          <w:rFonts w:ascii="Times New Roman" w:hAnsi="Times New Roman" w:cs="Times New Roman"/>
          <w:bCs/>
        </w:rPr>
        <w:t xml:space="preserve"> of the CO1 gene with Species Level Barcode Records (accessed </w:t>
      </w:r>
      <w:r w:rsidR="003B291B">
        <w:rPr>
          <w:rFonts w:ascii="Times New Roman" w:hAnsi="Times New Roman" w:cs="Times New Roman"/>
          <w:bCs/>
        </w:rPr>
        <w:t>May 21</w:t>
      </w:r>
      <w:r w:rsidRPr="0040503F">
        <w:rPr>
          <w:rFonts w:ascii="Times New Roman" w:hAnsi="Times New Roman" w:cs="Times New Roman"/>
          <w:bCs/>
        </w:rPr>
        <w:t xml:space="preserve">, 2020; </w:t>
      </w:r>
      <w:r w:rsidR="003B291B">
        <w:rPr>
          <w:rFonts w:ascii="Times New Roman" w:hAnsi="Times New Roman" w:cs="Times New Roman"/>
        </w:rPr>
        <w:t>4,070,029</w:t>
      </w:r>
      <w:r w:rsidRPr="0040503F">
        <w:rPr>
          <w:rFonts w:ascii="Times New Roman" w:hAnsi="Times New Roman" w:cs="Times New Roman"/>
        </w:rPr>
        <w:t> Sequences, 2</w:t>
      </w:r>
      <w:r w:rsidR="003B291B">
        <w:rPr>
          <w:rFonts w:ascii="Times New Roman" w:hAnsi="Times New Roman" w:cs="Times New Roman"/>
        </w:rPr>
        <w:t xml:space="preserve">25,114 </w:t>
      </w:r>
      <w:r w:rsidRPr="0040503F">
        <w:rPr>
          <w:rFonts w:ascii="Times New Roman" w:hAnsi="Times New Roman" w:cs="Times New Roman"/>
        </w:rPr>
        <w:t xml:space="preserve">Species, and </w:t>
      </w:r>
      <w:r w:rsidR="003B291B">
        <w:rPr>
          <w:rFonts w:ascii="Times New Roman" w:hAnsi="Times New Roman" w:cs="Times New Roman"/>
        </w:rPr>
        <w:t>104,607</w:t>
      </w:r>
      <w:r w:rsidRPr="0040503F">
        <w:rPr>
          <w:rFonts w:ascii="Times New Roman" w:hAnsi="Times New Roman" w:cs="Times New Roman"/>
        </w:rPr>
        <w:t xml:space="preserve"> Interim Species in database) to match each ASV list to taxonomies. We combined taxonomic assignments from both programs and discarded taxonomic assignments that were mismatched at the family level or higher </w:t>
      </w:r>
      <w:r w:rsidRPr="0040503F">
        <w:rPr>
          <w:rFonts w:ascii="Times New Roman" w:hAnsi="Times New Roman" w:cs="Times New Roman"/>
        </w:rPr>
        <w:fldChar w:fldCharType="begin" w:fldLock="1"/>
      </w:r>
      <w:r w:rsidRPr="0040503F">
        <w:rPr>
          <w:rFonts w:ascii="Times New Roman" w:hAnsi="Times New Roman" w:cs="Times New Roman"/>
        </w:rPr>
        <w:instrText>ADDIN CSL_CITATION {"citationItems":[{"id":"ITEM-1","itemData":{"DOI":"10.1002/ece3.3192","ISSN":"20457758","abstract":"Environmental bulk samples often contain many different taxa that vary several orders of magnitude in biomass. This can be problematic in DNA metabarcoding and metagenomic high-throughput sequencing approaches, as large specimens contribute disproportionately high amounts of DNA template. Thus, a few specimens of high biomass will dominate the dataset, potentially leading to smaller specimens remaining undetected. Sorting of samples by specimen size (as a proxy for biomass) and balancing the amounts of tissue used per size fraction should improve detection rates, but this approach has not been systematically tested. Here, we explored the effects of size sorting on taxa detection using two freshwater macroinvertebrate bulk samples, collected from a low-mountain stream in Germany. Specimens were morphologically identified and sorted into three size classes (body size &lt; 2.5 × 5, 5 × 10, and up to 10 × 20 mm). Tissue powder from each size category was extracted individually and pooled based on tissue weight to simulate samples that were not sorted by biomass (\"Unsorted\"). Additionally, size fractions were pooled so that each specimen contributed approximately equal amounts of biomass (\"Sorted\"). Mock samples were amplified using four different DNA metabarcoding primer sets targeting the Cytochrome c oxidase I (COI) gene. Sorting taxa by size and pooling them proportionately according to their abundance lead to a more equal amplification of taxa compared to the processing of complete samples without sorting. The sorted samples recovered 30% more taxa than the unsorted samples at the same sequencing depth. Our results imply that sequencing depth can be decreased approximately fivefold when sorting the samples into three size classes and pooling by specimen abundance. Even coarse size sorting can substantially improve taxa detection using DNA metabarcoding. While high-throughput sequencing will become more accessible and cheaper within the next years, sorting bulk samples by specimen biomass or size is a simple yet efficient method to reduce current sequencing costs.","author":[{"dropping-particle":"","family":"Elbrecht","given":"Vasco","non-dropping-particle":"","parse-names":false,"suffix":""},{"dropping-particle":"","family":"Peinert","given":"Bianca","non-dropping-particle":"","parse-names":false,"suffix":""},{"dropping-particle":"","family":"Leese","given":"Florian","non-dropping-particle":"","parse-names":false,"suffix":""}],"container-title":"Ecology and Evolution","id":"ITEM-1","issue":"17","issued":{"date-parts":[["2017"]]},"page":"6918-6926","title":"Sorting things out: Assessing effects of unequal specimen biomass on DNA metabarcoding","type":"article-journal","volume":"7"},"uris":["http://www.mendeley.com/documents/?uuid=058c69cc-b8ff-4a8f-996f-2e1024b5c941"]}],"mendeley":{"formattedCitation":"(Elbrecht et al., 2017)","plainTextFormattedCitation":"(Elbrecht et al., 2017)","previouslyFormattedCitation":"(Elbrecht et al., 2017)"},"properties":{"noteIndex":0},"schema":"https://github.com/citation-style-language/schema/raw/master/csl-citation.json"}</w:instrText>
      </w:r>
      <w:r w:rsidRPr="0040503F">
        <w:rPr>
          <w:rFonts w:ascii="Times New Roman" w:hAnsi="Times New Roman" w:cs="Times New Roman"/>
        </w:rPr>
        <w:fldChar w:fldCharType="separate"/>
      </w:r>
      <w:r w:rsidRPr="0040503F">
        <w:rPr>
          <w:rFonts w:ascii="Times New Roman" w:hAnsi="Times New Roman" w:cs="Times New Roman"/>
          <w:noProof/>
        </w:rPr>
        <w:t>(Elbrecht et al., 2017)</w:t>
      </w:r>
      <w:r w:rsidRPr="0040503F">
        <w:rPr>
          <w:rFonts w:ascii="Times New Roman" w:hAnsi="Times New Roman" w:cs="Times New Roman"/>
        </w:rPr>
        <w:fldChar w:fldCharType="end"/>
      </w:r>
      <w:r w:rsidRPr="0040503F">
        <w:rPr>
          <w:rFonts w:ascii="Times New Roman" w:hAnsi="Times New Roman" w:cs="Times New Roman"/>
        </w:rPr>
        <w:t xml:space="preserve">. </w:t>
      </w:r>
    </w:p>
    <w:p w14:paraId="549BC60E" w14:textId="77777777" w:rsidR="0059261E" w:rsidRDefault="0059261E" w:rsidP="0040503F">
      <w:pPr>
        <w:rPr>
          <w:rFonts w:ascii="Times New Roman" w:hAnsi="Times New Roman" w:cs="Times New Roman"/>
          <w:bCs/>
          <w:i/>
          <w:iCs/>
        </w:rPr>
      </w:pPr>
    </w:p>
    <w:p w14:paraId="7E24DC71" w14:textId="2478A64D" w:rsidR="00DD2339" w:rsidRPr="0040503F" w:rsidRDefault="0059261E" w:rsidP="0040503F">
      <w:pPr>
        <w:rPr>
          <w:rFonts w:ascii="Times New Roman" w:hAnsi="Times New Roman" w:cs="Times New Roman"/>
          <w:bCs/>
          <w:i/>
          <w:iCs/>
        </w:rPr>
      </w:pPr>
      <w:r>
        <w:rPr>
          <w:rFonts w:ascii="Times New Roman" w:hAnsi="Times New Roman" w:cs="Times New Roman"/>
          <w:bCs/>
          <w:i/>
          <w:iCs/>
        </w:rPr>
        <w:t>Rarefying samples</w:t>
      </w:r>
    </w:p>
    <w:p w14:paraId="6729E2E5" w14:textId="535031E9" w:rsidR="00DD2339" w:rsidRDefault="00C87714" w:rsidP="0040503F">
      <w:pPr>
        <w:rPr>
          <w:rFonts w:ascii="Times New Roman" w:hAnsi="Times New Roman" w:cs="Times New Roman"/>
          <w:bCs/>
        </w:rPr>
      </w:pPr>
      <w:r>
        <w:rPr>
          <w:rFonts w:ascii="Times New Roman" w:hAnsi="Times New Roman" w:cs="Times New Roman"/>
          <w:bCs/>
        </w:rPr>
        <w:t>We rarefied samples</w:t>
      </w:r>
      <w:r w:rsidR="00DD2339" w:rsidRPr="0040503F">
        <w:rPr>
          <w:rFonts w:ascii="Times New Roman" w:hAnsi="Times New Roman" w:cs="Times New Roman"/>
          <w:bCs/>
        </w:rPr>
        <w:t xml:space="preserve">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{"citationItems":[{"id":"ITEM-1","itemData":{"DOI":"10.1111/2041-210X.13115","ISSN":"2041210X","abstract":"Abstract Microbiome sequencing data often need to be normalized due to differences in read depths, and recommendations for microbiome analyses generally warn against using proportions or rarefying to normalize data and instead advocate alternatives, such as upper quartile, CSS, edgeR-TMM, or DESeq-VS. Those recommendations are, however, based on studies that focused on differential abundance testing and variance standardization, rather than community-level comparisons (i.e., beta diversity). Also, standardizing the within-sample variance across samples may suppress differences in species evenness, potentially distorting community-level patterns. Furthermore, the recommended methods use log transformations, which we expect to exaggerate the importance of differences among rare OTUs, while suppressing the importance of differences among common OTUs. We tested these theoretical predictions via simulations and a real-world dataset. Proportions and rarefying produced more accurate comparisons among communities and were the only methods that fully normalized read depths across samples. Additionally, upper quartile, CSS, edgeR-TMM, and DESeq-VS often masked differences among communities when common OTUs differed, and they produced false positives when rare OTUs differed. Based on our simulations, normalizing via proportions may be superior to other commonly used methods for comparing ecological communities.","author":[{"dropping-particle":"","family":"McKnight","given":"Donald T.","non-dropping-particle":"","parse-names":false,"suffix":""},{"dropping-particle":"","family":"Huerlimann","given":"Roger","non-dropping-particle":"","parse-names":false,"suffix":""},{"dropping-particle":"","family":"Bower","given":"Deborah S.","non-dropping-particle":"","parse-names":false,"suffix":""},{"dropping-particle":"","family":"Schwarzkopf","given":"Lin","non-dropping-particle":"","parse-names":false,"suffix":""},{"dropping-particle":"","family":"Alford","given":"Ross A.","non-dropping-particle":"","parse-names":false,"suffix":""},{"dropping-particle":"","family":"Zenger","given":"Kyall R.","non-dropping-particle":"","parse-names":false,"suffix":""}],"container-title":"Methods in Ecology and Evolution","id":"ITEM-1","issue":"3","issued":{"date-parts":[["2019"]]},"page":"389-400","title":"Methods for normalizing microbiome data: An ecological perspective","type":"article-journal","volume":"10"},"uris":["http://www.mendeley.com/documents/?uuid=7029732e-9c93-42f4-9d8f-c3002dbbcb60"]}],"mendeley":{"formattedCitation":"(McKnight et al., 2019)","plainTextFormattedCitation":"(McKnight et al., 2019)","previouslyFormattedCitation":"(McKnight et al., 2019)"},"properties":{"noteIndex":0},"schema":"https://github.com/citation-style-language/schema/raw/master/csl-citation.json"}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(McKnight et al., 2019)</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because sequencing depth, or the total number of DNA sequences assigned per sample, can vary considerably in high throughput sequencing runs. We rarefied based on the sample with the lowest sequencing depth which had been sequenced with 95%+ sampling completeness based on </w:t>
      </w:r>
      <w:proofErr w:type="spellStart"/>
      <w:r w:rsidR="00DD2339" w:rsidRPr="0040503F">
        <w:rPr>
          <w:rFonts w:ascii="Times New Roman" w:hAnsi="Times New Roman" w:cs="Times New Roman"/>
          <w:bCs/>
        </w:rPr>
        <w:t>iNEXT</w:t>
      </w:r>
      <w:proofErr w:type="spellEnd"/>
      <w:r w:rsidR="00DD2339" w:rsidRPr="0040503F">
        <w:rPr>
          <w:rFonts w:ascii="Times New Roman" w:hAnsi="Times New Roman" w:cs="Times New Roman"/>
          <w:bCs/>
        </w:rPr>
        <w:t xml:space="preserve"> (version 2.0.20) interpolation and extrapolation methods </w:t>
      </w:r>
      <w:r w:rsidR="00DD2339" w:rsidRPr="0040503F">
        <w:rPr>
          <w:rFonts w:ascii="Times New Roman" w:hAnsi="Times New Roman" w:cs="Times New Roman"/>
          <w:bCs/>
        </w:rPr>
        <w:fldChar w:fldCharType="begin" w:fldLock="1"/>
      </w:r>
      <w:r w:rsidR="00DD2339" w:rsidRPr="0040503F">
        <w:rPr>
          <w:rFonts w:ascii="Times New Roman" w:hAnsi="Times New Roman" w:cs="Times New Roman"/>
          <w:bCs/>
        </w:rPr>
        <w:instrText>ADDIN CSL_CITATION {"citationItems":[{"id":"ITEM-1","itemData":{"DOI":"10.1093/sysbio/syw073","ISSN":"1076836X","abstract":"Measures of phylogenetic diversity are basic tools in many studies of systematic biology. Faith's PD (sum of branch lengths of a phylogenetic tree connecting all focal species) is the most widely used phylogenetic measure. Like species richness, Faith's PD based on sampling data is highly dependent on sample size and sample completeness. The sample-size-and sample-coverage-based integration of rarefaction and extrapolation of Faith's PD was recently developed to make fair comparison across multiple assemblages. However, species abundances are not considered in Faith's PD. Based on the framework of Hill numbers, Faith's PDwas generalized to a class of phylogenetic diversity measures that incorporates species abundances. In this article, we develop both theoretical formulae and analytic estimators for seamless rarefaction and extrapolation for this class of abundance-sensitive phylogenetic measures, which includes simple transformations of phylogenetic entropy and of quadratic entropy. Thiswork generalizes theprevious rarefaction/extrapolation model of Faith's PD to incorporate species abundance, and also extends the previous rarefaction/extrapolation model of Hill numbers to include phylogenetic differences among species. Thus a unified approach to assessing and comparing species/taxonomic diversity and phylogenetic diversity can be established. A bootstrap method is suggested for constructing confidence intervals around the phylogenetic diversity, facilitating the comparison of multiple assemblages. Our formulation and estimators can be extended to incidence data collected from multiple sampling units. We also illustrate the formulae and estimators using bacterial sequence data from the human distal esophagus and phyllostomid bat data from three habitats.","author":[{"dropping-particle":"","family":"Hsieh","given":"T. C.","non-dropping-particle":"","parse-names":false,"suffix":""},{"dropping-particle":"","family":"Chao","given":"Anne","non-dropping-particle":"","parse-names":false,"suffix":""}],"container-title":"Systematic Biology","id":"ITEM-1","issue":"1","issued":{"date-parts":[["2017"]]},"page":"100-111","title":"Rarefaction and extrapolation: Making fair comparison of abundance-sensitive phylogenetic diversity among multiple assemblages","type":"article-journal","volume":"66"},"uris":["http://www.mendeley.com/documents/?uuid=24241576-6b44-4744-945e-81c16dd6e633"]}],"mendeley":{"formattedCitation":"(Hsieh &amp; Chao, 2017)","plainTextFormattedCitation":"(Hsieh &amp; Chao, 2017)","previouslyFormattedCitation":"(Hsieh &amp; Chao, 2017)"},"properties":{"noteIndex":0},"schema":"https://github.com/citation-style-language/schema/raw/master/csl-citation.json"}</w:instrText>
      </w:r>
      <w:r w:rsidR="00DD2339" w:rsidRPr="0040503F">
        <w:rPr>
          <w:rFonts w:ascii="Times New Roman" w:hAnsi="Times New Roman" w:cs="Times New Roman"/>
          <w:bCs/>
        </w:rPr>
        <w:fldChar w:fldCharType="separate"/>
      </w:r>
      <w:r w:rsidR="00DD2339" w:rsidRPr="0040503F">
        <w:rPr>
          <w:rFonts w:ascii="Times New Roman" w:hAnsi="Times New Roman" w:cs="Times New Roman"/>
          <w:bCs/>
          <w:noProof/>
        </w:rPr>
        <w:t>(Hsieh &amp; Chao, 2017)</w:t>
      </w:r>
      <w:r w:rsidR="00DD2339" w:rsidRPr="0040503F">
        <w:rPr>
          <w:rFonts w:ascii="Times New Roman" w:hAnsi="Times New Roman" w:cs="Times New Roman"/>
          <w:bCs/>
        </w:rPr>
        <w:fldChar w:fldCharType="end"/>
      </w:r>
      <w:r w:rsidR="00DD2339" w:rsidRPr="0040503F">
        <w:rPr>
          <w:rFonts w:ascii="Times New Roman" w:hAnsi="Times New Roman" w:cs="Times New Roman"/>
          <w:bCs/>
        </w:rPr>
        <w:t xml:space="preserve">. We rarefied using the </w:t>
      </w:r>
      <w:proofErr w:type="spellStart"/>
      <w:proofErr w:type="gramStart"/>
      <w:r w:rsidR="00DD2339" w:rsidRPr="0040503F">
        <w:rPr>
          <w:rFonts w:ascii="Times New Roman" w:hAnsi="Times New Roman" w:cs="Times New Roman"/>
          <w:bCs/>
        </w:rPr>
        <w:t>rrarefy</w:t>
      </w:r>
      <w:proofErr w:type="spellEnd"/>
      <w:r w:rsidR="00DD2339" w:rsidRPr="0040503F">
        <w:rPr>
          <w:rFonts w:ascii="Times New Roman" w:hAnsi="Times New Roman" w:cs="Times New Roman"/>
          <w:bCs/>
        </w:rPr>
        <w:t>(</w:t>
      </w:r>
      <w:proofErr w:type="gramEnd"/>
      <w:r w:rsidR="00DD2339" w:rsidRPr="0040503F">
        <w:rPr>
          <w:rFonts w:ascii="Times New Roman" w:hAnsi="Times New Roman" w:cs="Times New Roman"/>
          <w:bCs/>
        </w:rPr>
        <w:t xml:space="preserve">) function in the vegan (version 2.5.6) package in R. We rarefied to </w:t>
      </w:r>
      <w:r w:rsidR="00E8025D">
        <w:rPr>
          <w:rFonts w:ascii="Times New Roman" w:hAnsi="Times New Roman" w:cs="Times New Roman"/>
          <w:bCs/>
        </w:rPr>
        <w:t>15,954</w:t>
      </w:r>
      <w:r w:rsidR="00DD2339" w:rsidRPr="0040503F">
        <w:rPr>
          <w:rFonts w:ascii="Times New Roman" w:hAnsi="Times New Roman" w:cs="Times New Roman"/>
          <w:bCs/>
        </w:rPr>
        <w:t xml:space="preserve"> reads per sample</w:t>
      </w:r>
      <w:r w:rsidR="00FF0150">
        <w:rPr>
          <w:rFonts w:ascii="Times New Roman" w:hAnsi="Times New Roman" w:cs="Times New Roman"/>
          <w:bCs/>
        </w:rPr>
        <w:t>.</w:t>
      </w:r>
    </w:p>
    <w:p w14:paraId="52592E43" w14:textId="4250ADE3" w:rsidR="00E66E58" w:rsidRDefault="00E66E58" w:rsidP="0040503F">
      <w:pPr>
        <w:rPr>
          <w:rFonts w:ascii="Times New Roman" w:hAnsi="Times New Roman" w:cs="Times New Roman"/>
          <w:bCs/>
        </w:rPr>
      </w:pPr>
    </w:p>
    <w:p w14:paraId="219A5A3D" w14:textId="77777777" w:rsidR="00E66E58" w:rsidRPr="0059261E" w:rsidRDefault="00E66E58" w:rsidP="00E66E58">
      <w:pPr>
        <w:rPr>
          <w:rFonts w:ascii="Times New Roman" w:hAnsi="Times New Roman" w:cs="Times New Roman"/>
          <w:bCs/>
          <w:i/>
          <w:iCs/>
        </w:rPr>
      </w:pPr>
      <w:r>
        <w:rPr>
          <w:rFonts w:ascii="Times New Roman" w:hAnsi="Times New Roman" w:cs="Times New Roman"/>
          <w:bCs/>
          <w:i/>
          <w:iCs/>
        </w:rPr>
        <w:t>Prey taxonomic assignment</w:t>
      </w:r>
    </w:p>
    <w:p w14:paraId="7BCA8C42" w14:textId="2ECEA6C2" w:rsidR="0059261E" w:rsidRPr="006A3642" w:rsidRDefault="00E66E58" w:rsidP="0059261E">
      <w:pPr>
        <w:rPr>
          <w:rFonts w:ascii="Times New Roman" w:hAnsi="Times New Roman" w:cs="Times New Roman"/>
          <w:bCs/>
        </w:rPr>
      </w:pPr>
      <w:r w:rsidRPr="0040503F">
        <w:rPr>
          <w:rFonts w:ascii="Times New Roman" w:hAnsi="Times New Roman" w:cs="Times New Roman"/>
          <w:bCs/>
        </w:rPr>
        <w:t>Following rarefying, we selected all ASVs</w:t>
      </w:r>
      <w:r>
        <w:rPr>
          <w:rFonts w:ascii="Times New Roman" w:hAnsi="Times New Roman" w:cs="Times New Roman"/>
          <w:bCs/>
        </w:rPr>
        <w:t xml:space="preserve"> in each predator sample</w:t>
      </w:r>
      <w:r w:rsidRPr="0040503F">
        <w:rPr>
          <w:rFonts w:ascii="Times New Roman" w:hAnsi="Times New Roman" w:cs="Times New Roman"/>
          <w:bCs/>
        </w:rPr>
        <w:t xml:space="preserve"> which matched to all potential diet items </w:t>
      </w:r>
      <w:r>
        <w:rPr>
          <w:rFonts w:ascii="Times New Roman" w:hAnsi="Times New Roman" w:cs="Times New Roman"/>
          <w:bCs/>
        </w:rPr>
        <w:t xml:space="preserve">from the BLAST and BOLD outputs </w:t>
      </w:r>
      <w:r w:rsidRPr="0040503F">
        <w:rPr>
          <w:rFonts w:ascii="Times New Roman" w:hAnsi="Times New Roman" w:cs="Times New Roman"/>
          <w:bCs/>
        </w:rPr>
        <w:t>(Kingdom: Animalia; Clade: Bilateria, excluding consumer DNA). In addition, for all consumers, because BLAST and BOLD matched multiple ASVs to the same taxonomies (</w:t>
      </w:r>
      <w:proofErr w:type="gramStart"/>
      <w:r w:rsidRPr="0040503F">
        <w:rPr>
          <w:rFonts w:ascii="Times New Roman" w:hAnsi="Times New Roman" w:cs="Times New Roman"/>
          <w:bCs/>
        </w:rPr>
        <w:t>e.g.</w:t>
      </w:r>
      <w:proofErr w:type="gramEnd"/>
      <w:r w:rsidRPr="0040503F">
        <w:rPr>
          <w:rFonts w:ascii="Times New Roman" w:hAnsi="Times New Roman" w:cs="Times New Roman"/>
          <w:bCs/>
        </w:rPr>
        <w:t xml:space="preserve"> at species, genus, or family level), we concatenated all ASVs based on shared taxonomic assignment. </w:t>
      </w:r>
      <w:r>
        <w:rPr>
          <w:rFonts w:ascii="Times New Roman" w:hAnsi="Times New Roman" w:cs="Times New Roman"/>
          <w:bCs/>
        </w:rPr>
        <w:t xml:space="preserve">Most (%) </w:t>
      </w:r>
      <w:r w:rsidRPr="0040503F">
        <w:rPr>
          <w:rFonts w:ascii="Times New Roman" w:hAnsi="Times New Roman" w:cs="Times New Roman"/>
          <w:bCs/>
        </w:rPr>
        <w:t>ASVs received a family-level taxonomic assignment, so we chose to co</w:t>
      </w:r>
      <w:r>
        <w:rPr>
          <w:rFonts w:ascii="Times New Roman" w:hAnsi="Times New Roman" w:cs="Times New Roman"/>
          <w:bCs/>
        </w:rPr>
        <w:t>mbine taxonomies</w:t>
      </w:r>
      <w:r w:rsidRPr="0040503F">
        <w:rPr>
          <w:rFonts w:ascii="Times New Roman" w:hAnsi="Times New Roman" w:cs="Times New Roman"/>
          <w:bCs/>
        </w:rPr>
        <w:t xml:space="preserve"> at the family level</w:t>
      </w:r>
      <w:r>
        <w:rPr>
          <w:rFonts w:ascii="Times New Roman" w:hAnsi="Times New Roman" w:cs="Times New Roman"/>
          <w:bCs/>
        </w:rPr>
        <w:t xml:space="preserve">, similar to both metabarcoding and </w:t>
      </w:r>
      <w:proofErr w:type="spellStart"/>
      <w:r>
        <w:rPr>
          <w:rFonts w:ascii="Times New Roman" w:hAnsi="Times New Roman" w:cs="Times New Roman"/>
          <w:bCs/>
        </w:rPr>
        <w:t>microhistological</w:t>
      </w:r>
      <w:proofErr w:type="spellEnd"/>
      <w:r>
        <w:rPr>
          <w:rFonts w:ascii="Times New Roman" w:hAnsi="Times New Roman" w:cs="Times New Roman"/>
          <w:bCs/>
        </w:rPr>
        <w:t xml:space="preserve"> methods in this field (</w:t>
      </w:r>
      <w:proofErr w:type="gramStart"/>
      <w:r>
        <w:rPr>
          <w:rFonts w:ascii="Times New Roman" w:hAnsi="Times New Roman" w:cs="Times New Roman"/>
          <w:bCs/>
        </w:rPr>
        <w:t>e.g.</w:t>
      </w:r>
      <w:proofErr w:type="gramEnd"/>
      <w:r>
        <w:rPr>
          <w:rFonts w:ascii="Times New Roman" w:hAnsi="Times New Roman" w:cs="Times New Roman"/>
          <w:bCs/>
        </w:rPr>
        <w:t xml:space="preserve"> Brose et al. 2019, </w:t>
      </w:r>
      <w:proofErr w:type="spellStart"/>
      <w:r>
        <w:rPr>
          <w:rFonts w:ascii="Times New Roman" w:hAnsi="Times New Roman" w:cs="Times New Roman"/>
          <w:bCs/>
        </w:rPr>
        <w:t>Kartzinel</w:t>
      </w:r>
      <w:proofErr w:type="spellEnd"/>
      <w:r>
        <w:rPr>
          <w:rFonts w:ascii="Times New Roman" w:hAnsi="Times New Roman" w:cs="Times New Roman"/>
          <w:bCs/>
        </w:rPr>
        <w:t xml:space="preserve"> – find other metabarcoding ones). </w:t>
      </w:r>
      <w:r w:rsidRPr="0040503F">
        <w:rPr>
          <w:rFonts w:ascii="Times New Roman" w:hAnsi="Times New Roman" w:cs="Times New Roman"/>
          <w:bCs/>
        </w:rPr>
        <w:t xml:space="preserve">We </w:t>
      </w:r>
      <w:r>
        <w:rPr>
          <w:rFonts w:ascii="Times New Roman" w:hAnsi="Times New Roman" w:cs="Times New Roman"/>
          <w:bCs/>
        </w:rPr>
        <w:t>combined by taxonomies by</w:t>
      </w:r>
      <w:r w:rsidRPr="0040503F">
        <w:rPr>
          <w:rFonts w:ascii="Times New Roman" w:hAnsi="Times New Roman" w:cs="Times New Roman"/>
          <w:bCs/>
        </w:rPr>
        <w:t xml:space="preserve"> combining ASVs which matched at the family level into one combined taxonomy with cumulative read abundance (</w:t>
      </w:r>
      <w:proofErr w:type="gramStart"/>
      <w:r w:rsidRPr="0040503F">
        <w:rPr>
          <w:rFonts w:ascii="Times New Roman" w:hAnsi="Times New Roman" w:cs="Times New Roman"/>
          <w:bCs/>
        </w:rPr>
        <w:t>i.e.</w:t>
      </w:r>
      <w:proofErr w:type="gramEnd"/>
      <w:r w:rsidRPr="0040503F">
        <w:rPr>
          <w:rFonts w:ascii="Times New Roman" w:hAnsi="Times New Roman" w:cs="Times New Roman"/>
          <w:bCs/>
        </w:rPr>
        <w:t xml:space="preserve"> all ASVs matched to </w:t>
      </w:r>
      <w:r w:rsidRPr="0040503F">
        <w:rPr>
          <w:rFonts w:ascii="Times New Roman" w:hAnsi="Times New Roman" w:cs="Times New Roman"/>
          <w:bCs/>
          <w:i/>
          <w:iCs/>
        </w:rPr>
        <w:t xml:space="preserve">diet family A </w:t>
      </w:r>
      <w:r w:rsidRPr="0040503F">
        <w:rPr>
          <w:rFonts w:ascii="Times New Roman" w:hAnsi="Times New Roman" w:cs="Times New Roman"/>
          <w:bCs/>
        </w:rPr>
        <w:t xml:space="preserve">were combined into one </w:t>
      </w:r>
      <w:r w:rsidRPr="0040503F">
        <w:rPr>
          <w:rFonts w:ascii="Times New Roman" w:hAnsi="Times New Roman" w:cs="Times New Roman"/>
          <w:bCs/>
          <w:i/>
          <w:iCs/>
        </w:rPr>
        <w:t>diet family A</w:t>
      </w:r>
      <w:r w:rsidRPr="0040503F">
        <w:rPr>
          <w:rFonts w:ascii="Times New Roman" w:hAnsi="Times New Roman" w:cs="Times New Roman"/>
          <w:bCs/>
        </w:rPr>
        <w:t xml:space="preserve"> taxonomy with cumulative read abundance). </w:t>
      </w:r>
      <w:r>
        <w:rPr>
          <w:rFonts w:ascii="Times New Roman" w:hAnsi="Times New Roman" w:cs="Times New Roman"/>
          <w:bCs/>
        </w:rPr>
        <w:t xml:space="preserve">All DNA matching any predator species on an individual run at the family or order level was also removed to account for potential sequence jumping within sequencing runs which could alter prey identity or diversity in favor of predator species on a shared run (CITE SEQUENCE JUMPING). </w:t>
      </w:r>
    </w:p>
    <w:p w14:paraId="7BE2843F" w14:textId="3BF855E1" w:rsidR="00FB09BB" w:rsidRDefault="00FB09BB" w:rsidP="0059261E">
      <w:pPr>
        <w:rPr>
          <w:rFonts w:ascii="Times New Roman" w:hAnsi="Times New Roman" w:cs="Times New Roman"/>
        </w:rPr>
      </w:pPr>
    </w:p>
    <w:p w14:paraId="77EB762D" w14:textId="5AD50FA9" w:rsidR="00477419" w:rsidRDefault="00FB09BB" w:rsidP="0059261E">
      <w:pPr>
        <w:rPr>
          <w:rFonts w:ascii="Times New Roman" w:hAnsi="Times New Roman" w:cs="Times New Roman"/>
          <w:i/>
          <w:iCs/>
        </w:rPr>
      </w:pPr>
      <w:r>
        <w:rPr>
          <w:rFonts w:ascii="Times New Roman" w:hAnsi="Times New Roman" w:cs="Times New Roman"/>
          <w:i/>
          <w:iCs/>
        </w:rPr>
        <w:t>Predator mass-length relationships</w:t>
      </w:r>
    </w:p>
    <w:p w14:paraId="3AC6B12B" w14:textId="5675F971" w:rsidR="00624885" w:rsidRDefault="00624885" w:rsidP="0059261E">
      <w:pPr>
        <w:rPr>
          <w:rFonts w:ascii="Times New Roman" w:hAnsi="Times New Roman" w:cs="Times New Roman"/>
        </w:rPr>
      </w:pPr>
      <w:r>
        <w:rPr>
          <w:rFonts w:ascii="Times New Roman" w:hAnsi="Times New Roman" w:cs="Times New Roman"/>
        </w:rPr>
        <w:t>We converted predator lengths to mass by determining mass-length scaling relationships for each predator species. To do this, we compiled data from the literature (</w:t>
      </w:r>
      <w:proofErr w:type="spellStart"/>
      <w:r>
        <w:rPr>
          <w:rFonts w:ascii="Times New Roman" w:hAnsi="Times New Roman" w:cs="Times New Roman"/>
        </w:rPr>
        <w:t>Soehlstrom</w:t>
      </w:r>
      <w:proofErr w:type="spellEnd"/>
      <w:r>
        <w:rPr>
          <w:rFonts w:ascii="Times New Roman" w:hAnsi="Times New Roman" w:cs="Times New Roman"/>
        </w:rPr>
        <w:t xml:space="preserve"> et al., </w:t>
      </w:r>
      <w:proofErr w:type="spellStart"/>
      <w:r>
        <w:rPr>
          <w:rFonts w:ascii="Times New Roman" w:hAnsi="Times New Roman" w:cs="Times New Roman"/>
        </w:rPr>
        <w:t>Su</w:t>
      </w:r>
      <w:proofErr w:type="spellEnd"/>
      <w:r>
        <w:rPr>
          <w:rFonts w:ascii="Times New Roman" w:hAnsi="Times New Roman" w:cs="Times New Roman"/>
        </w:rPr>
        <w:t xml:space="preserve"> et al., </w:t>
      </w:r>
      <w:proofErr w:type="spellStart"/>
      <w:r>
        <w:rPr>
          <w:rFonts w:ascii="Times New Roman" w:hAnsi="Times New Roman" w:cs="Times New Roman"/>
        </w:rPr>
        <w:t>Yaninek</w:t>
      </w:r>
      <w:proofErr w:type="spellEnd"/>
      <w:r>
        <w:rPr>
          <w:rFonts w:ascii="Times New Roman" w:hAnsi="Times New Roman" w:cs="Times New Roman"/>
        </w:rPr>
        <w:t xml:space="preserve"> et al. 1993), from another ongoing project (Palmyra citation) and from data collected by A. </w:t>
      </w:r>
      <w:proofErr w:type="spellStart"/>
      <w:r>
        <w:rPr>
          <w:rFonts w:ascii="Times New Roman" w:hAnsi="Times New Roman" w:cs="Times New Roman"/>
        </w:rPr>
        <w:t>Miller-ter</w:t>
      </w:r>
      <w:proofErr w:type="spellEnd"/>
      <w:r>
        <w:rPr>
          <w:rFonts w:ascii="Times New Roman" w:hAnsi="Times New Roman" w:cs="Times New Roman"/>
        </w:rPr>
        <w:t xml:space="preserve"> Kuile during other field seasons (Supplementary info/datasets) on body length and mass for individuals of all predator species, or of predators from tropical environments in the same families (e.g. </w:t>
      </w:r>
      <w:proofErr w:type="spellStart"/>
      <w:r>
        <w:rPr>
          <w:rFonts w:ascii="Times New Roman" w:hAnsi="Times New Roman" w:cs="Times New Roman"/>
        </w:rPr>
        <w:t>Sohlstrom</w:t>
      </w:r>
      <w:proofErr w:type="spellEnd"/>
      <w:r>
        <w:rPr>
          <w:rFonts w:ascii="Times New Roman" w:hAnsi="Times New Roman" w:cs="Times New Roman"/>
        </w:rPr>
        <w:t xml:space="preserve"> </w:t>
      </w:r>
      <w:proofErr w:type="gramStart"/>
      <w:r>
        <w:rPr>
          <w:rFonts w:ascii="Times New Roman" w:hAnsi="Times New Roman" w:cs="Times New Roman"/>
        </w:rPr>
        <w:t>et al. )</w:t>
      </w:r>
      <w:proofErr w:type="gramEnd"/>
      <w:r>
        <w:rPr>
          <w:rFonts w:ascii="Times New Roman" w:hAnsi="Times New Roman" w:cs="Times New Roman"/>
        </w:rPr>
        <w:t>. We determined a by-species scaling relationship by fitting a mixed effect model predicting the log</w:t>
      </w:r>
      <w:r w:rsidRPr="00624885">
        <w:rPr>
          <w:rFonts w:ascii="Times New Roman" w:hAnsi="Times New Roman" w:cs="Times New Roman"/>
          <w:vertAlign w:val="subscript"/>
        </w:rPr>
        <w:t>10</w:t>
      </w:r>
      <w:r>
        <w:rPr>
          <w:rFonts w:ascii="Times New Roman" w:hAnsi="Times New Roman" w:cs="Times New Roman"/>
        </w:rPr>
        <w:t xml:space="preserve"> transformed predator mass from log</w:t>
      </w:r>
      <w:r w:rsidRPr="00624885">
        <w:rPr>
          <w:rFonts w:ascii="Times New Roman" w:hAnsi="Times New Roman" w:cs="Times New Roman"/>
          <w:vertAlign w:val="subscript"/>
        </w:rPr>
        <w:t>10</w:t>
      </w:r>
      <w:r>
        <w:rPr>
          <w:rFonts w:ascii="Times New Roman" w:hAnsi="Times New Roman" w:cs="Times New Roman"/>
        </w:rPr>
        <w:t xml:space="preserve"> transformed predator length with a random slope term for log</w:t>
      </w:r>
      <w:r w:rsidRPr="00624885">
        <w:rPr>
          <w:rFonts w:ascii="Times New Roman" w:hAnsi="Times New Roman" w:cs="Times New Roman"/>
          <w:vertAlign w:val="subscript"/>
        </w:rPr>
        <w:t>10</w:t>
      </w:r>
      <w:r>
        <w:rPr>
          <w:rFonts w:ascii="Times New Roman" w:hAnsi="Times New Roman" w:cs="Times New Roman"/>
        </w:rPr>
        <w:t xml:space="preserve"> predator length and a random intercept by predator species (</w:t>
      </w:r>
      <w:proofErr w:type="gramStart"/>
      <w:r>
        <w:rPr>
          <w:rFonts w:ascii="Times New Roman" w:hAnsi="Times New Roman" w:cs="Times New Roman"/>
        </w:rPr>
        <w:t>e.g.</w:t>
      </w:r>
      <w:proofErr w:type="gramEnd"/>
      <w:r>
        <w:rPr>
          <w:rFonts w:ascii="Times New Roman" w:hAnsi="Times New Roman" w:cs="Times New Roman"/>
        </w:rPr>
        <w:t xml:space="preserve"> letting the mass-length relationship vary by species</w:t>
      </w:r>
      <w:r w:rsidR="003D121A">
        <w:rPr>
          <w:rFonts w:ascii="Times New Roman" w:hAnsi="Times New Roman" w:cs="Times New Roman"/>
        </w:rPr>
        <w:t xml:space="preserve">; Supplementary Information). </w:t>
      </w:r>
    </w:p>
    <w:p w14:paraId="25E0C9FB" w14:textId="77777777" w:rsidR="00606769" w:rsidRDefault="00606769" w:rsidP="0059261E">
      <w:pPr>
        <w:rPr>
          <w:rFonts w:ascii="Times New Roman" w:hAnsi="Times New Roman" w:cs="Times New Roman"/>
        </w:rPr>
      </w:pPr>
    </w:p>
    <w:p w14:paraId="64BAD2EB" w14:textId="6E3A62B3" w:rsidR="002348A7" w:rsidRDefault="00FB09BB" w:rsidP="0059261E">
      <w:pPr>
        <w:rPr>
          <w:rFonts w:ascii="Times New Roman" w:hAnsi="Times New Roman" w:cs="Times New Roman"/>
          <w:i/>
          <w:iCs/>
        </w:rPr>
      </w:pPr>
      <w:r>
        <w:rPr>
          <w:rFonts w:ascii="Times New Roman" w:hAnsi="Times New Roman" w:cs="Times New Roman"/>
          <w:i/>
          <w:iCs/>
        </w:rPr>
        <w:lastRenderedPageBreak/>
        <w:t>Prey size dataset</w:t>
      </w:r>
    </w:p>
    <w:p w14:paraId="200A2538" w14:textId="1ACE2E79" w:rsidR="00606769" w:rsidRDefault="00606769" w:rsidP="0059261E">
      <w:pPr>
        <w:rPr>
          <w:rFonts w:ascii="Times New Roman" w:hAnsi="Times New Roman" w:cs="Times New Roman"/>
        </w:rPr>
      </w:pPr>
      <w:r>
        <w:rPr>
          <w:rFonts w:ascii="Times New Roman" w:hAnsi="Times New Roman" w:cs="Times New Roman"/>
        </w:rPr>
        <w:t>Following methods for other interaction datasets of invertebrate predators of similar size (</w:t>
      </w:r>
      <w:proofErr w:type="gramStart"/>
      <w:r>
        <w:rPr>
          <w:rFonts w:ascii="Times New Roman" w:hAnsi="Times New Roman" w:cs="Times New Roman"/>
        </w:rPr>
        <w:t>e.g.</w:t>
      </w:r>
      <w:proofErr w:type="gramEnd"/>
      <w:r>
        <w:rPr>
          <w:rFonts w:ascii="Times New Roman" w:hAnsi="Times New Roman" w:cs="Times New Roman"/>
        </w:rPr>
        <w:t xml:space="preserve"> Brose et al. 2019), we determined prey mass based on average prey masses at the family level drawn from the same sources as the predator mass and length relationships (</w:t>
      </w:r>
      <w:proofErr w:type="spellStart"/>
      <w:r>
        <w:rPr>
          <w:rFonts w:ascii="Times New Roman" w:hAnsi="Times New Roman" w:cs="Times New Roman"/>
        </w:rPr>
        <w:t>Sohlstrom</w:t>
      </w:r>
      <w:proofErr w:type="spellEnd"/>
      <w:r>
        <w:rPr>
          <w:rFonts w:ascii="Times New Roman" w:hAnsi="Times New Roman" w:cs="Times New Roman"/>
        </w:rPr>
        <w:t xml:space="preserve"> et al., </w:t>
      </w:r>
      <w:proofErr w:type="spellStart"/>
      <w:r>
        <w:rPr>
          <w:rFonts w:ascii="Times New Roman" w:hAnsi="Times New Roman" w:cs="Times New Roman"/>
        </w:rPr>
        <w:t>Su</w:t>
      </w:r>
      <w:proofErr w:type="spellEnd"/>
      <w:r>
        <w:rPr>
          <w:rFonts w:ascii="Times New Roman" w:hAnsi="Times New Roman" w:cs="Times New Roman"/>
        </w:rPr>
        <w:t xml:space="preserve">. Et al, </w:t>
      </w:r>
      <w:proofErr w:type="spellStart"/>
      <w:r>
        <w:rPr>
          <w:rFonts w:ascii="Times New Roman" w:hAnsi="Times New Roman" w:cs="Times New Roman"/>
        </w:rPr>
        <w:t>Yananik</w:t>
      </w:r>
      <w:proofErr w:type="spellEnd"/>
      <w:r>
        <w:rPr>
          <w:rFonts w:ascii="Times New Roman" w:hAnsi="Times New Roman" w:cs="Times New Roman"/>
        </w:rPr>
        <w:t xml:space="preserve"> et al. 1993, palmyra citation, </w:t>
      </w:r>
      <w:proofErr w:type="spellStart"/>
      <w:r>
        <w:rPr>
          <w:rFonts w:ascii="Times New Roman" w:hAnsi="Times New Roman" w:cs="Times New Roman"/>
        </w:rPr>
        <w:t>Miller-ter</w:t>
      </w:r>
      <w:proofErr w:type="spellEnd"/>
      <w:r>
        <w:rPr>
          <w:rFonts w:ascii="Times New Roman" w:hAnsi="Times New Roman" w:cs="Times New Roman"/>
        </w:rPr>
        <w:t xml:space="preserve"> Kuile). </w:t>
      </w:r>
    </w:p>
    <w:p w14:paraId="57928367" w14:textId="77777777" w:rsidR="00606769" w:rsidRPr="00606769" w:rsidRDefault="00606769" w:rsidP="0059261E">
      <w:pPr>
        <w:rPr>
          <w:rFonts w:ascii="Times New Roman" w:hAnsi="Times New Roman" w:cs="Times New Roman"/>
        </w:rPr>
      </w:pPr>
    </w:p>
    <w:p w14:paraId="7632797D" w14:textId="59B88B4A" w:rsidR="00FB09BB" w:rsidRDefault="00606769" w:rsidP="0059261E">
      <w:pPr>
        <w:rPr>
          <w:rFonts w:ascii="Times New Roman" w:hAnsi="Times New Roman" w:cs="Times New Roman"/>
          <w:i/>
          <w:iCs/>
        </w:rPr>
      </w:pPr>
      <w:r>
        <w:rPr>
          <w:rFonts w:ascii="Times New Roman" w:hAnsi="Times New Roman" w:cs="Times New Roman"/>
          <w:i/>
          <w:iCs/>
        </w:rPr>
        <w:t>Prey Size:</w:t>
      </w:r>
    </w:p>
    <w:p w14:paraId="26284E1F" w14:textId="72D9A641" w:rsidR="00FB09BB" w:rsidRDefault="00FB09BB" w:rsidP="0059261E">
      <w:pPr>
        <w:rPr>
          <w:rFonts w:ascii="Times New Roman" w:hAnsi="Times New Roman" w:cs="Times New Roman"/>
          <w:i/>
          <w:iCs/>
        </w:rPr>
      </w:pPr>
      <w:r>
        <w:rPr>
          <w:rFonts w:ascii="Times New Roman" w:hAnsi="Times New Roman" w:cs="Times New Roman"/>
          <w:i/>
          <w:iCs/>
        </w:rPr>
        <w:t>Predator-prey body size relationships</w:t>
      </w:r>
    </w:p>
    <w:p w14:paraId="22CC04B3" w14:textId="06433F2D" w:rsidR="00606769" w:rsidRDefault="00606769" w:rsidP="0059261E">
      <w:pPr>
        <w:rPr>
          <w:rFonts w:ascii="Times New Roman" w:hAnsi="Times New Roman" w:cs="Times New Roman"/>
          <w:i/>
          <w:iCs/>
        </w:rPr>
      </w:pPr>
      <w:r>
        <w:rPr>
          <w:rFonts w:ascii="Times New Roman" w:hAnsi="Times New Roman" w:cs="Times New Roman"/>
          <w:i/>
          <w:iCs/>
        </w:rPr>
        <w:t>Prey size range by predator size</w:t>
      </w:r>
    </w:p>
    <w:p w14:paraId="5CDB4F81" w14:textId="6485DD81" w:rsidR="00606769" w:rsidRDefault="00606769" w:rsidP="0059261E">
      <w:pPr>
        <w:rPr>
          <w:rFonts w:ascii="Times New Roman" w:hAnsi="Times New Roman" w:cs="Times New Roman"/>
          <w:i/>
          <w:iCs/>
        </w:rPr>
      </w:pPr>
    </w:p>
    <w:p w14:paraId="7E8F8F4D" w14:textId="4C205CAB" w:rsidR="00606769" w:rsidRDefault="00606769" w:rsidP="0059261E">
      <w:pPr>
        <w:rPr>
          <w:rFonts w:ascii="Times New Roman" w:hAnsi="Times New Roman" w:cs="Times New Roman"/>
          <w:i/>
          <w:iCs/>
        </w:rPr>
      </w:pPr>
      <w:r>
        <w:rPr>
          <w:rFonts w:ascii="Times New Roman" w:hAnsi="Times New Roman" w:cs="Times New Roman"/>
          <w:i/>
          <w:iCs/>
        </w:rPr>
        <w:t>Prey Species Composition:</w:t>
      </w:r>
    </w:p>
    <w:p w14:paraId="67781ED2" w14:textId="108FF613" w:rsidR="00606769" w:rsidRDefault="00FB09BB" w:rsidP="0059261E">
      <w:pPr>
        <w:rPr>
          <w:rFonts w:ascii="Times New Roman" w:hAnsi="Times New Roman" w:cs="Times New Roman"/>
          <w:i/>
          <w:iCs/>
        </w:rPr>
      </w:pPr>
      <w:r>
        <w:rPr>
          <w:rFonts w:ascii="Times New Roman" w:hAnsi="Times New Roman" w:cs="Times New Roman"/>
          <w:i/>
          <w:iCs/>
        </w:rPr>
        <w:t>Prey identity by predator identity and size</w:t>
      </w:r>
    </w:p>
    <w:p w14:paraId="43813B23" w14:textId="2112C0B8" w:rsidR="00FB09BB" w:rsidRDefault="00FB09BB" w:rsidP="0059261E">
      <w:pPr>
        <w:rPr>
          <w:rFonts w:ascii="Times New Roman" w:hAnsi="Times New Roman" w:cs="Times New Roman"/>
          <w:i/>
          <w:iCs/>
        </w:rPr>
      </w:pPr>
      <w:proofErr w:type="spellStart"/>
      <w:r>
        <w:rPr>
          <w:rFonts w:ascii="Times New Roman" w:hAnsi="Times New Roman" w:cs="Times New Roman"/>
          <w:i/>
          <w:iCs/>
        </w:rPr>
        <w:t>Nestedness</w:t>
      </w:r>
      <w:proofErr w:type="spellEnd"/>
      <w:r>
        <w:rPr>
          <w:rFonts w:ascii="Times New Roman" w:hAnsi="Times New Roman" w:cs="Times New Roman"/>
          <w:i/>
          <w:iCs/>
        </w:rPr>
        <w:t xml:space="preserve"> of prey identity by predator size</w:t>
      </w:r>
    </w:p>
    <w:p w14:paraId="21C595AC" w14:textId="2CE3BA8D" w:rsidR="00FB09BB" w:rsidRPr="00FB09BB" w:rsidRDefault="00FB09BB" w:rsidP="0059261E">
      <w:pPr>
        <w:rPr>
          <w:rFonts w:ascii="Times New Roman" w:hAnsi="Times New Roman" w:cs="Times New Roman"/>
          <w:i/>
          <w:iCs/>
        </w:rPr>
      </w:pPr>
      <w:r>
        <w:rPr>
          <w:rFonts w:ascii="Times New Roman" w:hAnsi="Times New Roman" w:cs="Times New Roman"/>
          <w:i/>
          <w:iCs/>
        </w:rPr>
        <w:t>Stage structure by predator size</w:t>
      </w:r>
    </w:p>
    <w:p w14:paraId="321C9E9E" w14:textId="77777777" w:rsidR="0059261E" w:rsidRDefault="0059261E" w:rsidP="0059261E">
      <w:pPr>
        <w:rPr>
          <w:rFonts w:ascii="Times New Roman" w:hAnsi="Times New Roman" w:cs="Times New Roman"/>
        </w:rPr>
      </w:pPr>
    </w:p>
    <w:p w14:paraId="63FA4CE4" w14:textId="1464A085" w:rsidR="00A20941" w:rsidRDefault="00A20941" w:rsidP="0040503F">
      <w:pPr>
        <w:rPr>
          <w:rFonts w:ascii="Times New Roman" w:hAnsi="Times New Roman" w:cs="Times New Roman"/>
          <w:bCs/>
        </w:rPr>
      </w:pPr>
    </w:p>
    <w:p w14:paraId="736ED20C" w14:textId="7D7D1E5A" w:rsidR="00A20941" w:rsidRDefault="00A20941" w:rsidP="0040503F">
      <w:pPr>
        <w:rPr>
          <w:rFonts w:ascii="Times New Roman" w:hAnsi="Times New Roman" w:cs="Times New Roman"/>
          <w:bCs/>
        </w:rPr>
      </w:pPr>
    </w:p>
    <w:p w14:paraId="4402569C" w14:textId="58B13D0A" w:rsidR="00A20941" w:rsidRPr="0040503F" w:rsidRDefault="00A20941" w:rsidP="0040503F">
      <w:pPr>
        <w:rPr>
          <w:rFonts w:ascii="Times New Roman" w:hAnsi="Times New Roman" w:cs="Times New Roman"/>
          <w:bCs/>
        </w:rPr>
      </w:pPr>
      <w:r>
        <w:rPr>
          <w:rFonts w:ascii="Times New Roman" w:hAnsi="Times New Roman" w:cs="Times New Roman"/>
          <w:bCs/>
        </w:rPr>
        <w:t>Results</w:t>
      </w:r>
    </w:p>
    <w:p w14:paraId="0E8AAA72" w14:textId="77777777" w:rsidR="00DD2339" w:rsidRPr="0040503F" w:rsidRDefault="00DD2339" w:rsidP="0040503F">
      <w:pPr>
        <w:rPr>
          <w:rFonts w:ascii="Times New Roman" w:hAnsi="Times New Roman" w:cs="Times New Roman"/>
          <w:bCs/>
        </w:rPr>
      </w:pPr>
    </w:p>
    <w:p w14:paraId="5EF0D581" w14:textId="08616A5C" w:rsidR="00DD2339" w:rsidRPr="0040503F" w:rsidRDefault="00DD2339" w:rsidP="0040503F">
      <w:pPr>
        <w:rPr>
          <w:rFonts w:ascii="Times New Roman" w:hAnsi="Times New Roman" w:cs="Times New Roman"/>
          <w:b/>
        </w:rPr>
      </w:pPr>
      <w:r w:rsidRPr="0040503F">
        <w:rPr>
          <w:rFonts w:ascii="Times New Roman" w:hAnsi="Times New Roman" w:cs="Times New Roman"/>
          <w:bCs/>
          <w:i/>
          <w:iCs/>
        </w:rPr>
        <w:t>PCR success, sequence merging, filtering, and clustering with DADA2</w:t>
      </w:r>
    </w:p>
    <w:p w14:paraId="2A948893" w14:textId="40CF8158" w:rsidR="00184A4E" w:rsidRPr="00951D37" w:rsidRDefault="00C77D40" w:rsidP="00184A4E">
      <w:pPr>
        <w:rPr>
          <w:rFonts w:ascii="Times New Roman" w:hAnsi="Times New Roman" w:cs="Times New Roman"/>
          <w:i/>
          <w:iCs/>
        </w:rPr>
      </w:pPr>
      <w:r>
        <w:rPr>
          <w:rFonts w:ascii="Times New Roman" w:hAnsi="Times New Roman" w:cs="Times New Roman"/>
          <w:bCs/>
        </w:rPr>
        <w:t xml:space="preserve">Of a total of 280 samples, </w:t>
      </w:r>
      <w:r w:rsidR="00E8025D">
        <w:rPr>
          <w:rFonts w:ascii="Times New Roman" w:hAnsi="Times New Roman" w:cs="Times New Roman"/>
          <w:bCs/>
        </w:rPr>
        <w:t>w</w:t>
      </w:r>
      <w:r w:rsidR="00DD2339" w:rsidRPr="0040503F">
        <w:rPr>
          <w:rFonts w:ascii="Times New Roman" w:hAnsi="Times New Roman" w:cs="Times New Roman"/>
          <w:bCs/>
        </w:rPr>
        <w:t xml:space="preserve">e successfully extracted DNA from </w:t>
      </w:r>
      <w:r>
        <w:rPr>
          <w:rFonts w:ascii="Times New Roman" w:hAnsi="Times New Roman" w:cs="Times New Roman"/>
          <w:bCs/>
        </w:rPr>
        <w:t>99</w:t>
      </w:r>
      <w:r w:rsidR="00DD2339" w:rsidRPr="0040503F">
        <w:rPr>
          <w:rFonts w:ascii="Times New Roman" w:hAnsi="Times New Roman" w:cs="Times New Roman"/>
          <w:bCs/>
        </w:rPr>
        <w:t xml:space="preserve">% of samples (n = </w:t>
      </w:r>
      <w:r w:rsidR="003468A3">
        <w:rPr>
          <w:rFonts w:ascii="Times New Roman" w:hAnsi="Times New Roman" w:cs="Times New Roman"/>
          <w:bCs/>
        </w:rPr>
        <w:t>2</w:t>
      </w:r>
      <w:r>
        <w:rPr>
          <w:rFonts w:ascii="Times New Roman" w:hAnsi="Times New Roman" w:cs="Times New Roman"/>
          <w:bCs/>
        </w:rPr>
        <w:t>78 of 280</w:t>
      </w:r>
      <w:r w:rsidR="00DD2339" w:rsidRPr="0040503F">
        <w:rPr>
          <w:rFonts w:ascii="Times New Roman" w:hAnsi="Times New Roman" w:cs="Times New Roman"/>
          <w:bCs/>
        </w:rPr>
        <w:t xml:space="preserve">). Amplification success across all samples was </w:t>
      </w:r>
      <w:r>
        <w:rPr>
          <w:rFonts w:ascii="Times New Roman" w:hAnsi="Times New Roman" w:cs="Times New Roman"/>
          <w:bCs/>
        </w:rPr>
        <w:t>80</w:t>
      </w:r>
      <w:r w:rsidR="00DD2339" w:rsidRPr="0040503F">
        <w:rPr>
          <w:rFonts w:ascii="Times New Roman" w:hAnsi="Times New Roman" w:cs="Times New Roman"/>
          <w:bCs/>
        </w:rPr>
        <w:t xml:space="preserve">%, with </w:t>
      </w:r>
      <w:r>
        <w:rPr>
          <w:rFonts w:ascii="Times New Roman" w:hAnsi="Times New Roman" w:cs="Times New Roman"/>
          <w:bCs/>
        </w:rPr>
        <w:t>222</w:t>
      </w:r>
      <w:r w:rsidR="00DD2339" w:rsidRPr="0040503F">
        <w:rPr>
          <w:rFonts w:ascii="Times New Roman" w:hAnsi="Times New Roman" w:cs="Times New Roman"/>
          <w:bCs/>
        </w:rPr>
        <w:t xml:space="preserve"> of </w:t>
      </w:r>
      <w:r>
        <w:rPr>
          <w:rFonts w:ascii="Times New Roman" w:hAnsi="Times New Roman" w:cs="Times New Roman"/>
          <w:bCs/>
        </w:rPr>
        <w:t>278</w:t>
      </w:r>
      <w:r w:rsidR="00DD2339" w:rsidRPr="0040503F">
        <w:rPr>
          <w:rFonts w:ascii="Times New Roman" w:hAnsi="Times New Roman" w:cs="Times New Roman"/>
          <w:bCs/>
        </w:rPr>
        <w:t xml:space="preserve"> initially extracted samples successfully amplified and sequenced</w:t>
      </w:r>
      <w:r w:rsidR="00E00EB8">
        <w:rPr>
          <w:rFonts w:ascii="Times New Roman" w:hAnsi="Times New Roman" w:cs="Times New Roman"/>
          <w:bCs/>
        </w:rPr>
        <w:t xml:space="preserve">. </w:t>
      </w:r>
      <w:r w:rsidR="00DD2339" w:rsidRPr="0040503F">
        <w:rPr>
          <w:rFonts w:ascii="Times New Roman" w:hAnsi="Times New Roman" w:cs="Times New Roman"/>
          <w:bCs/>
        </w:rPr>
        <w:t xml:space="preserve">The Illumina </w:t>
      </w:r>
      <w:proofErr w:type="spellStart"/>
      <w:r w:rsidR="00DD2339" w:rsidRPr="0040503F">
        <w:rPr>
          <w:rFonts w:ascii="Times New Roman" w:hAnsi="Times New Roman" w:cs="Times New Roman"/>
          <w:bCs/>
        </w:rPr>
        <w:t>MiSeq</w:t>
      </w:r>
      <w:proofErr w:type="spellEnd"/>
      <w:r w:rsidR="00DD2339" w:rsidRPr="0040503F">
        <w:rPr>
          <w:rFonts w:ascii="Times New Roman" w:hAnsi="Times New Roman" w:cs="Times New Roman"/>
          <w:bCs/>
        </w:rPr>
        <w:t xml:space="preserve"> run</w:t>
      </w:r>
      <w:r>
        <w:rPr>
          <w:rFonts w:ascii="Times New Roman" w:hAnsi="Times New Roman" w:cs="Times New Roman"/>
          <w:bCs/>
        </w:rPr>
        <w:t>s</w:t>
      </w:r>
      <w:r w:rsidR="00DD2339" w:rsidRPr="0040503F">
        <w:rPr>
          <w:rFonts w:ascii="Times New Roman" w:hAnsi="Times New Roman" w:cs="Times New Roman"/>
          <w:bCs/>
        </w:rPr>
        <w:t xml:space="preserve"> yielded</w:t>
      </w:r>
      <w:r w:rsidR="00C74DBA">
        <w:rPr>
          <w:rFonts w:ascii="Times New Roman" w:hAnsi="Times New Roman" w:cs="Times New Roman"/>
          <w:bCs/>
        </w:rPr>
        <w:t xml:space="preserve"> 3.9, 3.8, 3.8, and 3.3 x 10</w:t>
      </w:r>
      <w:r w:rsidR="00C74DBA">
        <w:rPr>
          <w:rFonts w:ascii="Times New Roman" w:hAnsi="Times New Roman" w:cs="Times New Roman"/>
          <w:bCs/>
          <w:vertAlign w:val="superscript"/>
        </w:rPr>
        <w:t>7</w:t>
      </w:r>
      <w:r w:rsidR="00C74DBA">
        <w:rPr>
          <w:rFonts w:ascii="Times New Roman" w:hAnsi="Times New Roman" w:cs="Times New Roman"/>
          <w:bCs/>
        </w:rPr>
        <w:t xml:space="preserve"> </w:t>
      </w:r>
      <w:r w:rsidR="00DD2339" w:rsidRPr="0040503F">
        <w:rPr>
          <w:rFonts w:ascii="Times New Roman" w:hAnsi="Times New Roman" w:cs="Times New Roman"/>
          <w:bCs/>
        </w:rPr>
        <w:t xml:space="preserve">unpaired reads </w:t>
      </w:r>
      <w:r w:rsidR="00C74DBA">
        <w:rPr>
          <w:rFonts w:ascii="Times New Roman" w:hAnsi="Times New Roman" w:cs="Times New Roman"/>
          <w:bCs/>
        </w:rPr>
        <w:t xml:space="preserve">that passed filtering </w:t>
      </w:r>
      <w:r w:rsidR="00DD2339" w:rsidRPr="0040503F">
        <w:rPr>
          <w:rFonts w:ascii="Times New Roman" w:hAnsi="Times New Roman" w:cs="Times New Roman"/>
          <w:bCs/>
        </w:rPr>
        <w:t>and had Q30 quality score</w:t>
      </w:r>
      <w:r w:rsidR="00C74DBA">
        <w:rPr>
          <w:rFonts w:ascii="Times New Roman" w:hAnsi="Times New Roman" w:cs="Times New Roman"/>
          <w:bCs/>
        </w:rPr>
        <w:t>s</w:t>
      </w:r>
      <w:r w:rsidR="00DD2339" w:rsidRPr="0040503F">
        <w:rPr>
          <w:rFonts w:ascii="Times New Roman" w:hAnsi="Times New Roman" w:cs="Times New Roman"/>
          <w:bCs/>
        </w:rPr>
        <w:t xml:space="preserve"> of </w:t>
      </w:r>
      <w:r w:rsidR="00C74DBA">
        <w:rPr>
          <w:rFonts w:ascii="Times New Roman" w:hAnsi="Times New Roman" w:cs="Times New Roman"/>
          <w:bCs/>
        </w:rPr>
        <w:t>87.82, 85.46, 79.34, and 78.02%, respectively</w:t>
      </w:r>
      <w:r w:rsidR="00DD2339" w:rsidRPr="0040503F">
        <w:rPr>
          <w:rFonts w:ascii="Times New Roman" w:hAnsi="Times New Roman" w:cs="Times New Roman"/>
          <w:bCs/>
        </w:rPr>
        <w:t xml:space="preserve">. After quality filtering and denoising with </w:t>
      </w:r>
      <w:r w:rsidR="00E00EB8">
        <w:rPr>
          <w:rFonts w:ascii="Times New Roman" w:hAnsi="Times New Roman" w:cs="Times New Roman"/>
          <w:bCs/>
        </w:rPr>
        <w:t xml:space="preserve">DADA2, </w:t>
      </w:r>
      <w:r w:rsidR="00184A4E">
        <w:rPr>
          <w:rFonts w:ascii="Times New Roman" w:hAnsi="Times New Roman" w:cs="Times New Roman"/>
          <w:bCs/>
        </w:rPr>
        <w:t>3.02 x 10</w:t>
      </w:r>
      <w:r w:rsidR="00184A4E">
        <w:rPr>
          <w:rFonts w:ascii="Times New Roman" w:hAnsi="Times New Roman" w:cs="Times New Roman"/>
          <w:bCs/>
          <w:vertAlign w:val="superscript"/>
        </w:rPr>
        <w:t>7</w:t>
      </w:r>
      <w:r w:rsidR="00DD2339" w:rsidRPr="0040503F">
        <w:rPr>
          <w:rFonts w:ascii="Times New Roman" w:hAnsi="Times New Roman" w:cs="Times New Roman"/>
          <w:bCs/>
        </w:rPr>
        <w:t xml:space="preserve"> </w:t>
      </w:r>
      <w:proofErr w:type="gramStart"/>
      <w:r w:rsidR="00DD2339" w:rsidRPr="0040503F">
        <w:rPr>
          <w:rFonts w:ascii="Times New Roman" w:hAnsi="Times New Roman" w:cs="Times New Roman"/>
          <w:bCs/>
        </w:rPr>
        <w:t>paired-end</w:t>
      </w:r>
      <w:proofErr w:type="gramEnd"/>
      <w:r w:rsidR="00DD2339" w:rsidRPr="0040503F">
        <w:rPr>
          <w:rFonts w:ascii="Times New Roman" w:hAnsi="Times New Roman" w:cs="Times New Roman"/>
          <w:bCs/>
        </w:rPr>
        <w:t xml:space="preserve"> reads corresponded to </w:t>
      </w:r>
      <w:r w:rsidR="0070100E">
        <w:rPr>
          <w:rFonts w:ascii="Times New Roman" w:hAnsi="Times New Roman" w:cs="Times New Roman"/>
          <w:bCs/>
        </w:rPr>
        <w:t>1,738</w:t>
      </w:r>
      <w:r w:rsidR="00DD2339" w:rsidRPr="0040503F">
        <w:rPr>
          <w:rFonts w:ascii="Times New Roman" w:hAnsi="Times New Roman" w:cs="Times New Roman"/>
          <w:bCs/>
        </w:rPr>
        <w:t xml:space="preserve"> ASVs. </w:t>
      </w:r>
      <w:r w:rsidR="00E466D1">
        <w:rPr>
          <w:rFonts w:ascii="Times New Roman" w:hAnsi="Times New Roman" w:cs="Times New Roman"/>
          <w:bCs/>
        </w:rPr>
        <w:t>Following filtering and clustering, we determined that 40 samples had too-low sequencing depths (less than 11,211 reads total) and so they were removed from further analyses.</w:t>
      </w:r>
      <w:r w:rsidR="00951D37" w:rsidRPr="00951D37">
        <w:rPr>
          <w:rFonts w:ascii="Times New Roman" w:hAnsi="Times New Roman" w:cs="Times New Roman"/>
          <w:i/>
          <w:iCs/>
        </w:rPr>
        <w:t xml:space="preserve"> </w:t>
      </w:r>
    </w:p>
    <w:p w14:paraId="2DA0717C" w14:textId="77777777" w:rsidR="00E466D1" w:rsidRDefault="00E466D1" w:rsidP="0040503F">
      <w:pPr>
        <w:rPr>
          <w:rFonts w:ascii="Times New Roman" w:hAnsi="Times New Roman" w:cs="Times New Roman"/>
          <w:bCs/>
        </w:rPr>
      </w:pPr>
    </w:p>
    <w:p w14:paraId="31121627" w14:textId="36400ECE" w:rsidR="00E466D1" w:rsidRPr="00E466D1" w:rsidRDefault="00E466D1" w:rsidP="0040503F">
      <w:pPr>
        <w:rPr>
          <w:rFonts w:ascii="Times New Roman" w:hAnsi="Times New Roman" w:cs="Times New Roman"/>
          <w:bCs/>
          <w:i/>
          <w:iCs/>
        </w:rPr>
      </w:pPr>
      <w:r>
        <w:rPr>
          <w:rFonts w:ascii="Times New Roman" w:hAnsi="Times New Roman" w:cs="Times New Roman"/>
          <w:bCs/>
          <w:i/>
          <w:iCs/>
        </w:rPr>
        <w:t>ASV taxonomic assignment and Prey taxonomic assignment</w:t>
      </w:r>
    </w:p>
    <w:p w14:paraId="70DCF198" w14:textId="77777777" w:rsidR="00DC018D" w:rsidRDefault="00E8025D" w:rsidP="0040503F">
      <w:pPr>
        <w:rPr>
          <w:rFonts w:ascii="Times New Roman" w:hAnsi="Times New Roman" w:cs="Times New Roman"/>
          <w:bCs/>
        </w:rPr>
      </w:pPr>
      <w:r>
        <w:rPr>
          <w:rFonts w:ascii="Times New Roman" w:hAnsi="Times New Roman" w:cs="Times New Roman"/>
          <w:bCs/>
        </w:rPr>
        <w:t xml:space="preserve">Sixty-seven percent (1,167 of 1,738) </w:t>
      </w:r>
      <w:r w:rsidR="00DD2339" w:rsidRPr="0040503F">
        <w:rPr>
          <w:rFonts w:ascii="Times New Roman" w:hAnsi="Times New Roman" w:cs="Times New Roman"/>
          <w:bCs/>
        </w:rPr>
        <w:t>of ASVs matched to a taxonomic assignment</w:t>
      </w:r>
      <w:r w:rsidR="001A7E3C">
        <w:rPr>
          <w:rFonts w:ascii="Times New Roman" w:hAnsi="Times New Roman" w:cs="Times New Roman"/>
          <w:bCs/>
        </w:rPr>
        <w:t xml:space="preserve"> at Class level or lower</w:t>
      </w:r>
      <w:r w:rsidR="00DD2339" w:rsidRPr="0040503F">
        <w:rPr>
          <w:rFonts w:ascii="Times New Roman" w:hAnsi="Times New Roman" w:cs="Times New Roman"/>
          <w:bCs/>
        </w:rPr>
        <w:t xml:space="preserve">. </w:t>
      </w:r>
      <w:r w:rsidR="001A7E3C">
        <w:rPr>
          <w:rFonts w:ascii="Times New Roman" w:hAnsi="Times New Roman" w:cs="Times New Roman"/>
          <w:bCs/>
        </w:rPr>
        <w:t>Sixty-s</w:t>
      </w:r>
      <w:r>
        <w:rPr>
          <w:rFonts w:ascii="Times New Roman" w:hAnsi="Times New Roman" w:cs="Times New Roman"/>
          <w:bCs/>
        </w:rPr>
        <w:t>even</w:t>
      </w:r>
      <w:r w:rsidR="001A7E3C">
        <w:rPr>
          <w:rFonts w:ascii="Times New Roman" w:hAnsi="Times New Roman" w:cs="Times New Roman"/>
          <w:bCs/>
        </w:rPr>
        <w:t xml:space="preserve"> </w:t>
      </w:r>
      <w:r w:rsidR="00DD2339" w:rsidRPr="0040503F">
        <w:rPr>
          <w:rFonts w:ascii="Times New Roman" w:hAnsi="Times New Roman" w:cs="Times New Roman"/>
          <w:bCs/>
        </w:rPr>
        <w:t>percent of these taxonomi</w:t>
      </w:r>
      <w:r w:rsidR="001A7E3C">
        <w:rPr>
          <w:rFonts w:ascii="Times New Roman" w:hAnsi="Times New Roman" w:cs="Times New Roman"/>
          <w:bCs/>
        </w:rPr>
        <w:t xml:space="preserve">c assignments were assigned </w:t>
      </w:r>
      <w:r>
        <w:rPr>
          <w:rFonts w:ascii="Times New Roman" w:hAnsi="Times New Roman" w:cs="Times New Roman"/>
          <w:bCs/>
        </w:rPr>
        <w:t>to potential prey taxonomies (n = 784), with sixty-seven percent (n=524) of these taxonomies assigned at the family level and so were used in analyses (</w:t>
      </w:r>
      <w:r w:rsidR="001A7E3C">
        <w:rPr>
          <w:rFonts w:ascii="Times New Roman" w:hAnsi="Times New Roman" w:cs="Times New Roman"/>
          <w:bCs/>
        </w:rPr>
        <w:t xml:space="preserve">30% of </w:t>
      </w:r>
      <w:r>
        <w:rPr>
          <w:rFonts w:ascii="Times New Roman" w:hAnsi="Times New Roman" w:cs="Times New Roman"/>
          <w:bCs/>
        </w:rPr>
        <w:t>the tota</w:t>
      </w:r>
      <w:r w:rsidR="001A7E3C">
        <w:rPr>
          <w:rFonts w:ascii="Times New Roman" w:hAnsi="Times New Roman" w:cs="Times New Roman"/>
          <w:bCs/>
        </w:rPr>
        <w:t xml:space="preserve">l </w:t>
      </w:r>
      <w:r>
        <w:rPr>
          <w:rFonts w:ascii="Times New Roman" w:hAnsi="Times New Roman" w:cs="Times New Roman"/>
          <w:bCs/>
        </w:rPr>
        <w:t xml:space="preserve">1,738 </w:t>
      </w:r>
      <w:r w:rsidR="001A7E3C">
        <w:rPr>
          <w:rFonts w:ascii="Times New Roman" w:hAnsi="Times New Roman" w:cs="Times New Roman"/>
          <w:bCs/>
        </w:rPr>
        <w:t>denoised ASVs</w:t>
      </w:r>
      <w:r w:rsidR="00DD2339" w:rsidRPr="0040503F">
        <w:rPr>
          <w:rFonts w:ascii="Times New Roman" w:hAnsi="Times New Roman" w:cs="Times New Roman"/>
          <w:bCs/>
        </w:rPr>
        <w:t>)</w:t>
      </w:r>
      <w:r w:rsidR="001A7E3C">
        <w:rPr>
          <w:rFonts w:ascii="Times New Roman" w:hAnsi="Times New Roman" w:cs="Times New Roman"/>
          <w:bCs/>
        </w:rPr>
        <w:t xml:space="preserve">. </w:t>
      </w:r>
      <w:r w:rsidR="00DD2339" w:rsidRPr="0040503F">
        <w:rPr>
          <w:rFonts w:ascii="Times New Roman" w:hAnsi="Times New Roman" w:cs="Times New Roman"/>
          <w:bCs/>
        </w:rPr>
        <w:t xml:space="preserve">There were </w:t>
      </w:r>
      <w:r w:rsidR="001A7E3C">
        <w:rPr>
          <w:rFonts w:ascii="Times New Roman" w:hAnsi="Times New Roman" w:cs="Times New Roman"/>
          <w:bCs/>
        </w:rPr>
        <w:t>two</w:t>
      </w:r>
      <w:r w:rsidR="00DD2339" w:rsidRPr="0040503F">
        <w:rPr>
          <w:rFonts w:ascii="Times New Roman" w:hAnsi="Times New Roman" w:cs="Times New Roman"/>
          <w:bCs/>
        </w:rPr>
        <w:t xml:space="preserve"> conflicting taxonomic assignments at the family level or higher between the BOLD and BLAST assignments</w:t>
      </w:r>
      <w:r w:rsidR="001A7E3C">
        <w:rPr>
          <w:rFonts w:ascii="Times New Roman" w:hAnsi="Times New Roman" w:cs="Times New Roman"/>
          <w:bCs/>
        </w:rPr>
        <w:t xml:space="preserve"> which were removed from the final total above.</w:t>
      </w:r>
    </w:p>
    <w:p w14:paraId="583B9432" w14:textId="74FB89A8" w:rsidR="00DD2339" w:rsidRDefault="001A7E3C" w:rsidP="0040503F">
      <w:pPr>
        <w:rPr>
          <w:rFonts w:ascii="Times New Roman" w:hAnsi="Times New Roman" w:cs="Times New Roman"/>
          <w:bCs/>
        </w:rPr>
      </w:pPr>
      <w:r>
        <w:rPr>
          <w:rFonts w:ascii="Times New Roman" w:hAnsi="Times New Roman" w:cs="Times New Roman"/>
          <w:bCs/>
        </w:rPr>
        <w:t xml:space="preserve"> </w:t>
      </w:r>
    </w:p>
    <w:p w14:paraId="5CBA44C6" w14:textId="48B127F9" w:rsidR="00E466D1" w:rsidRDefault="002348A7" w:rsidP="0040503F">
      <w:pPr>
        <w:rPr>
          <w:rFonts w:ascii="Times New Roman" w:hAnsi="Times New Roman" w:cs="Times New Roman"/>
          <w:i/>
          <w:iCs/>
        </w:rPr>
      </w:pPr>
      <w:r>
        <w:rPr>
          <w:rFonts w:ascii="Times New Roman" w:hAnsi="Times New Roman" w:cs="Times New Roman"/>
          <w:i/>
          <w:iCs/>
        </w:rPr>
        <w:t>Quantifying c</w:t>
      </w:r>
      <w:r w:rsidR="00951D37">
        <w:rPr>
          <w:rFonts w:ascii="Times New Roman" w:hAnsi="Times New Roman" w:cs="Times New Roman"/>
          <w:i/>
          <w:iCs/>
        </w:rPr>
        <w:t>ross</w:t>
      </w:r>
      <w:r>
        <w:rPr>
          <w:rFonts w:ascii="Times New Roman" w:hAnsi="Times New Roman" w:cs="Times New Roman"/>
          <w:i/>
          <w:iCs/>
        </w:rPr>
        <w:t>-</w:t>
      </w:r>
      <w:r w:rsidR="00951D37">
        <w:rPr>
          <w:rFonts w:ascii="Times New Roman" w:hAnsi="Times New Roman" w:cs="Times New Roman"/>
          <w:i/>
          <w:iCs/>
        </w:rPr>
        <w:t>run v</w:t>
      </w:r>
      <w:r>
        <w:rPr>
          <w:rFonts w:ascii="Times New Roman" w:hAnsi="Times New Roman" w:cs="Times New Roman"/>
          <w:i/>
          <w:iCs/>
        </w:rPr>
        <w:t>ariation</w:t>
      </w:r>
    </w:p>
    <w:p w14:paraId="0ABFA3CC" w14:textId="614EC814" w:rsidR="00DC018D" w:rsidRDefault="00DC018D" w:rsidP="0040503F">
      <w:pPr>
        <w:rPr>
          <w:rFonts w:ascii="Times New Roman" w:hAnsi="Times New Roman" w:cs="Times New Roman"/>
        </w:rPr>
      </w:pPr>
      <w:r>
        <w:rPr>
          <w:rFonts w:ascii="Times New Roman" w:hAnsi="Times New Roman" w:cs="Times New Roman"/>
        </w:rPr>
        <w:t xml:space="preserve">There was significant cross-run variation, with </w:t>
      </w:r>
      <w:r w:rsidR="006A770C">
        <w:rPr>
          <w:rFonts w:ascii="Times New Roman" w:hAnsi="Times New Roman" w:cs="Times New Roman"/>
        </w:rPr>
        <w:t>significant differences (pair-wise differences between runs with p-value ≤ 0.05) between run 1-4, 2-3, and 2-4. On average, samples had: A: 2.26 ± 0.15, B: 2.33 ± 0.24, C: 1.72 ± 0.23, and D: 1.44 ± 0.15 species in each sample.</w:t>
      </w:r>
      <w:r w:rsidR="00A06097">
        <w:rPr>
          <w:rFonts w:ascii="Times New Roman" w:hAnsi="Times New Roman" w:cs="Times New Roman"/>
        </w:rPr>
        <w:t xml:space="preserve"> Because each species was run on a sequencing run with all other individuals from that species and because we did not compare species richness as a response variable across predator species in this study, we report this as the variation across sequencing runs but do not correct for it in future analyses (Supplementary Information).</w:t>
      </w:r>
    </w:p>
    <w:p w14:paraId="602C56C8" w14:textId="77777777" w:rsidR="00DC018D" w:rsidRPr="00DC018D" w:rsidRDefault="00DC018D" w:rsidP="0040503F">
      <w:pPr>
        <w:rPr>
          <w:rFonts w:ascii="Times New Roman" w:hAnsi="Times New Roman" w:cs="Times New Roman"/>
        </w:rPr>
      </w:pPr>
    </w:p>
    <w:p w14:paraId="4FB7FEBC" w14:textId="7E8707FF" w:rsidR="00E466D1" w:rsidRDefault="00E466D1" w:rsidP="00E466D1">
      <w:pPr>
        <w:rPr>
          <w:rFonts w:ascii="Times New Roman" w:hAnsi="Times New Roman" w:cs="Times New Roman"/>
          <w:i/>
          <w:iCs/>
        </w:rPr>
      </w:pPr>
      <w:r>
        <w:rPr>
          <w:rFonts w:ascii="Times New Roman" w:hAnsi="Times New Roman" w:cs="Times New Roman"/>
          <w:i/>
          <w:iCs/>
        </w:rPr>
        <w:lastRenderedPageBreak/>
        <w:t>Predator mass-length relationships</w:t>
      </w:r>
    </w:p>
    <w:p w14:paraId="1D4ACB6F" w14:textId="1E64EC11" w:rsidR="00606769" w:rsidRPr="00F83177" w:rsidRDefault="00606769" w:rsidP="00E466D1">
      <w:pPr>
        <w:rPr>
          <w:rFonts w:ascii="Times New Roman" w:hAnsi="Times New Roman" w:cs="Times New Roman"/>
        </w:rPr>
      </w:pPr>
      <w:r>
        <w:rPr>
          <w:rFonts w:ascii="Times New Roman" w:hAnsi="Times New Roman" w:cs="Times New Roman"/>
        </w:rPr>
        <w:t xml:space="preserve">We compiled data from 2,362 individual predator sizes (13 – 1652 per predator </w:t>
      </w:r>
      <w:r w:rsidR="00F83177">
        <w:rPr>
          <w:rFonts w:ascii="Times New Roman" w:hAnsi="Times New Roman" w:cs="Times New Roman"/>
        </w:rPr>
        <w:t>species). These data had strong species-specific mass-length scaling relationships (R</w:t>
      </w:r>
      <w:r w:rsidR="00F83177">
        <w:rPr>
          <w:rFonts w:ascii="Times New Roman" w:hAnsi="Times New Roman" w:cs="Times New Roman"/>
          <w:vertAlign w:val="superscript"/>
        </w:rPr>
        <w:t>2</w:t>
      </w:r>
      <w:r w:rsidR="00F83177">
        <w:rPr>
          <w:rFonts w:ascii="Times New Roman" w:hAnsi="Times New Roman" w:cs="Times New Roman"/>
          <w:vertAlign w:val="subscript"/>
        </w:rPr>
        <w:t>m</w:t>
      </w:r>
      <w:r w:rsidR="00F83177">
        <w:rPr>
          <w:rFonts w:ascii="Times New Roman" w:hAnsi="Times New Roman" w:cs="Times New Roman"/>
        </w:rPr>
        <w:t xml:space="preserve"> = 0.62, R</w:t>
      </w:r>
      <w:r w:rsidR="00F83177">
        <w:rPr>
          <w:rFonts w:ascii="Times New Roman" w:hAnsi="Times New Roman" w:cs="Times New Roman"/>
          <w:vertAlign w:val="superscript"/>
        </w:rPr>
        <w:t>2</w:t>
      </w:r>
      <w:r w:rsidR="00F83177">
        <w:rPr>
          <w:rFonts w:ascii="Times New Roman" w:hAnsi="Times New Roman" w:cs="Times New Roman"/>
          <w:vertAlign w:val="subscript"/>
        </w:rPr>
        <w:t>c</w:t>
      </w:r>
      <w:r w:rsidR="00F83177">
        <w:rPr>
          <w:rFonts w:ascii="Times New Roman" w:hAnsi="Times New Roman" w:cs="Times New Roman"/>
        </w:rPr>
        <w:t xml:space="preserve"> = 0.95). We predicted predator mass from these relationships (Supplementary Figure). </w:t>
      </w:r>
    </w:p>
    <w:p w14:paraId="7C4F2AC3" w14:textId="77777777" w:rsidR="00606769" w:rsidRPr="00606769" w:rsidRDefault="00606769" w:rsidP="00E466D1">
      <w:pPr>
        <w:rPr>
          <w:rFonts w:ascii="Times New Roman" w:hAnsi="Times New Roman" w:cs="Times New Roman"/>
        </w:rPr>
      </w:pPr>
    </w:p>
    <w:p w14:paraId="60B4581F" w14:textId="04C7865F" w:rsidR="00E466D1" w:rsidRDefault="00E466D1" w:rsidP="00E466D1">
      <w:pPr>
        <w:rPr>
          <w:rFonts w:ascii="Times New Roman" w:hAnsi="Times New Roman" w:cs="Times New Roman"/>
          <w:i/>
          <w:iCs/>
        </w:rPr>
      </w:pPr>
      <w:r>
        <w:rPr>
          <w:rFonts w:ascii="Times New Roman" w:hAnsi="Times New Roman" w:cs="Times New Roman"/>
          <w:i/>
          <w:iCs/>
        </w:rPr>
        <w:t>Prey size dataset</w:t>
      </w:r>
    </w:p>
    <w:p w14:paraId="757AAE8B" w14:textId="41718383" w:rsidR="00606769" w:rsidRDefault="00DC018D" w:rsidP="00E466D1">
      <w:pPr>
        <w:rPr>
          <w:rFonts w:ascii="Times New Roman" w:hAnsi="Times New Roman" w:cs="Times New Roman"/>
        </w:rPr>
      </w:pPr>
      <w:r>
        <w:rPr>
          <w:rFonts w:ascii="Times New Roman" w:hAnsi="Times New Roman" w:cs="Times New Roman"/>
        </w:rPr>
        <w:t xml:space="preserve">We compiled data from 3,458 individual prey (1 – 1721 individuals per predator family), with 59% (2,028 out of 3,458) coming from individuals from Palmyra Atoll (58% of these, or 1,172, from data collected by A. </w:t>
      </w:r>
      <w:proofErr w:type="spellStart"/>
      <w:r>
        <w:rPr>
          <w:rFonts w:ascii="Times New Roman" w:hAnsi="Times New Roman" w:cs="Times New Roman"/>
        </w:rPr>
        <w:t>Miller-ter</w:t>
      </w:r>
      <w:proofErr w:type="spellEnd"/>
      <w:r>
        <w:rPr>
          <w:rFonts w:ascii="Times New Roman" w:hAnsi="Times New Roman" w:cs="Times New Roman"/>
        </w:rPr>
        <w:t xml:space="preserve"> Kuile during additional field seasons and 42%, or 856, from data collected for CITE PALMYRA PAPER).</w:t>
      </w:r>
    </w:p>
    <w:p w14:paraId="06483EDC" w14:textId="77777777" w:rsidR="00DC018D" w:rsidRPr="00DC018D" w:rsidRDefault="00DC018D" w:rsidP="00E466D1">
      <w:pPr>
        <w:rPr>
          <w:rFonts w:ascii="Times New Roman" w:hAnsi="Times New Roman" w:cs="Times New Roman"/>
        </w:rPr>
      </w:pPr>
    </w:p>
    <w:p w14:paraId="444293E7" w14:textId="77777777" w:rsidR="00606769" w:rsidRDefault="00606769" w:rsidP="00606769">
      <w:pPr>
        <w:rPr>
          <w:rFonts w:ascii="Times New Roman" w:hAnsi="Times New Roman" w:cs="Times New Roman"/>
          <w:i/>
          <w:iCs/>
        </w:rPr>
      </w:pPr>
      <w:r>
        <w:rPr>
          <w:rFonts w:ascii="Times New Roman" w:hAnsi="Times New Roman" w:cs="Times New Roman"/>
          <w:i/>
          <w:iCs/>
        </w:rPr>
        <w:t>Prey Size:</w:t>
      </w:r>
    </w:p>
    <w:p w14:paraId="4930EEA4" w14:textId="77777777" w:rsidR="00606769" w:rsidRDefault="00606769" w:rsidP="00606769">
      <w:pPr>
        <w:rPr>
          <w:rFonts w:ascii="Times New Roman" w:hAnsi="Times New Roman" w:cs="Times New Roman"/>
          <w:i/>
          <w:iCs/>
        </w:rPr>
      </w:pPr>
      <w:r>
        <w:rPr>
          <w:rFonts w:ascii="Times New Roman" w:hAnsi="Times New Roman" w:cs="Times New Roman"/>
          <w:i/>
          <w:iCs/>
        </w:rPr>
        <w:t>Predator-prey body size relationships</w:t>
      </w:r>
    </w:p>
    <w:p w14:paraId="753FEEBA" w14:textId="77777777" w:rsidR="00606769" w:rsidRDefault="00606769" w:rsidP="00606769">
      <w:pPr>
        <w:rPr>
          <w:rFonts w:ascii="Times New Roman" w:hAnsi="Times New Roman" w:cs="Times New Roman"/>
          <w:i/>
          <w:iCs/>
        </w:rPr>
      </w:pPr>
      <w:r>
        <w:rPr>
          <w:rFonts w:ascii="Times New Roman" w:hAnsi="Times New Roman" w:cs="Times New Roman"/>
          <w:i/>
          <w:iCs/>
        </w:rPr>
        <w:t>Prey size range by predator size</w:t>
      </w:r>
    </w:p>
    <w:p w14:paraId="30B65E04" w14:textId="77777777" w:rsidR="00606769" w:rsidRDefault="00606769" w:rsidP="00606769">
      <w:pPr>
        <w:rPr>
          <w:rFonts w:ascii="Times New Roman" w:hAnsi="Times New Roman" w:cs="Times New Roman"/>
          <w:i/>
          <w:iCs/>
        </w:rPr>
      </w:pPr>
    </w:p>
    <w:p w14:paraId="5F419073" w14:textId="77777777" w:rsidR="00606769" w:rsidRDefault="00606769" w:rsidP="00606769">
      <w:pPr>
        <w:rPr>
          <w:rFonts w:ascii="Times New Roman" w:hAnsi="Times New Roman" w:cs="Times New Roman"/>
          <w:i/>
          <w:iCs/>
        </w:rPr>
      </w:pPr>
      <w:r>
        <w:rPr>
          <w:rFonts w:ascii="Times New Roman" w:hAnsi="Times New Roman" w:cs="Times New Roman"/>
          <w:i/>
          <w:iCs/>
        </w:rPr>
        <w:t>Prey Species Composition:</w:t>
      </w:r>
    </w:p>
    <w:p w14:paraId="714F732D" w14:textId="77777777" w:rsidR="00606769" w:rsidRDefault="00606769" w:rsidP="00606769">
      <w:pPr>
        <w:rPr>
          <w:rFonts w:ascii="Times New Roman" w:hAnsi="Times New Roman" w:cs="Times New Roman"/>
          <w:i/>
          <w:iCs/>
        </w:rPr>
      </w:pPr>
      <w:r>
        <w:rPr>
          <w:rFonts w:ascii="Times New Roman" w:hAnsi="Times New Roman" w:cs="Times New Roman"/>
          <w:i/>
          <w:iCs/>
        </w:rPr>
        <w:t>Prey identity by predator identity and size</w:t>
      </w:r>
    </w:p>
    <w:p w14:paraId="100278AA" w14:textId="77777777" w:rsidR="00606769" w:rsidRDefault="00606769" w:rsidP="00606769">
      <w:pPr>
        <w:rPr>
          <w:rFonts w:ascii="Times New Roman" w:hAnsi="Times New Roman" w:cs="Times New Roman"/>
          <w:i/>
          <w:iCs/>
        </w:rPr>
      </w:pPr>
      <w:proofErr w:type="spellStart"/>
      <w:r>
        <w:rPr>
          <w:rFonts w:ascii="Times New Roman" w:hAnsi="Times New Roman" w:cs="Times New Roman"/>
          <w:i/>
          <w:iCs/>
        </w:rPr>
        <w:t>Nestedness</w:t>
      </w:r>
      <w:proofErr w:type="spellEnd"/>
      <w:r>
        <w:rPr>
          <w:rFonts w:ascii="Times New Roman" w:hAnsi="Times New Roman" w:cs="Times New Roman"/>
          <w:i/>
          <w:iCs/>
        </w:rPr>
        <w:t xml:space="preserve"> of prey identity by predator size</w:t>
      </w:r>
    </w:p>
    <w:p w14:paraId="49DBDA37" w14:textId="77777777" w:rsidR="00606769" w:rsidRPr="00FB09BB" w:rsidRDefault="00606769" w:rsidP="00606769">
      <w:pPr>
        <w:rPr>
          <w:rFonts w:ascii="Times New Roman" w:hAnsi="Times New Roman" w:cs="Times New Roman"/>
          <w:i/>
          <w:iCs/>
        </w:rPr>
      </w:pPr>
      <w:r>
        <w:rPr>
          <w:rFonts w:ascii="Times New Roman" w:hAnsi="Times New Roman" w:cs="Times New Roman"/>
          <w:i/>
          <w:iCs/>
        </w:rPr>
        <w:t>Stage structure by predator size</w:t>
      </w:r>
    </w:p>
    <w:p w14:paraId="772C6572" w14:textId="77777777" w:rsidR="00DD2339" w:rsidRPr="0040503F" w:rsidRDefault="00DD2339" w:rsidP="0040503F">
      <w:pPr>
        <w:rPr>
          <w:rFonts w:ascii="Times New Roman" w:hAnsi="Times New Roman" w:cs="Times New Roman"/>
        </w:rPr>
      </w:pPr>
    </w:p>
    <w:p w14:paraId="59A0BBB1" w14:textId="68ABF609" w:rsidR="0040503F" w:rsidRPr="0040503F" w:rsidRDefault="0040503F" w:rsidP="0040503F">
      <w:pPr>
        <w:rPr>
          <w:rFonts w:ascii="Times New Roman" w:hAnsi="Times New Roman" w:cs="Times New Roman"/>
        </w:rPr>
      </w:pPr>
    </w:p>
    <w:p w14:paraId="6AE53668" w14:textId="77777777" w:rsidR="00063340" w:rsidRPr="0040503F" w:rsidRDefault="00063340" w:rsidP="0040503F">
      <w:pPr>
        <w:rPr>
          <w:rFonts w:ascii="Times New Roman" w:hAnsi="Times New Roman" w:cs="Times New Roman"/>
        </w:rPr>
      </w:pPr>
    </w:p>
    <w:sectPr w:rsidR="00063340" w:rsidRPr="0040503F"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11-24T10:50:00Z" w:initials="AMK">
    <w:p w14:paraId="22261247" w14:textId="24587C0C" w:rsidR="002448DC" w:rsidRDefault="002448DC">
      <w:pPr>
        <w:pStyle w:val="CommentText"/>
      </w:pPr>
      <w:r>
        <w:rPr>
          <w:rStyle w:val="CommentReference"/>
        </w:rPr>
        <w:annotationRef/>
      </w:r>
      <w:r>
        <w:t xml:space="preserve">Much of this is exactly what the methods paper has – leaving it in here, however, until that paper has been accepted. After which, I will likely just cite that paper to see methods.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226124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63F9" w16cex:dateUtc="2020-11-24T16: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2261247" w16cid:durableId="236763F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C67D6"/>
    <w:multiLevelType w:val="hybridMultilevel"/>
    <w:tmpl w:val="769CDF6C"/>
    <w:lvl w:ilvl="0" w:tplc="D6FC2AB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75D15"/>
    <w:multiLevelType w:val="hybridMultilevel"/>
    <w:tmpl w:val="0116E702"/>
    <w:lvl w:ilvl="0" w:tplc="296EE9D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3340"/>
    <w:rsid w:val="00021A76"/>
    <w:rsid w:val="00063340"/>
    <w:rsid w:val="00092324"/>
    <w:rsid w:val="00167E69"/>
    <w:rsid w:val="00184A4E"/>
    <w:rsid w:val="001A7E3C"/>
    <w:rsid w:val="001F0529"/>
    <w:rsid w:val="002348A7"/>
    <w:rsid w:val="002350AD"/>
    <w:rsid w:val="002448DC"/>
    <w:rsid w:val="002634AD"/>
    <w:rsid w:val="003468A3"/>
    <w:rsid w:val="003B291B"/>
    <w:rsid w:val="003B2EC1"/>
    <w:rsid w:val="003C0510"/>
    <w:rsid w:val="003D121A"/>
    <w:rsid w:val="0040503F"/>
    <w:rsid w:val="004144A6"/>
    <w:rsid w:val="0044605D"/>
    <w:rsid w:val="0046553C"/>
    <w:rsid w:val="00477419"/>
    <w:rsid w:val="004B36D0"/>
    <w:rsid w:val="004E7FA1"/>
    <w:rsid w:val="0059261E"/>
    <w:rsid w:val="00606769"/>
    <w:rsid w:val="006203A6"/>
    <w:rsid w:val="00624885"/>
    <w:rsid w:val="00627850"/>
    <w:rsid w:val="006A3642"/>
    <w:rsid w:val="006A770C"/>
    <w:rsid w:val="006C4841"/>
    <w:rsid w:val="0070100E"/>
    <w:rsid w:val="007F1B51"/>
    <w:rsid w:val="00950D74"/>
    <w:rsid w:val="00951D37"/>
    <w:rsid w:val="009D716C"/>
    <w:rsid w:val="00A06097"/>
    <w:rsid w:val="00A20941"/>
    <w:rsid w:val="00AA7DFB"/>
    <w:rsid w:val="00AB5841"/>
    <w:rsid w:val="00B41AD7"/>
    <w:rsid w:val="00B56487"/>
    <w:rsid w:val="00BE76F0"/>
    <w:rsid w:val="00C74DBA"/>
    <w:rsid w:val="00C77D40"/>
    <w:rsid w:val="00C87714"/>
    <w:rsid w:val="00D05618"/>
    <w:rsid w:val="00D540B6"/>
    <w:rsid w:val="00D95DF7"/>
    <w:rsid w:val="00DA3389"/>
    <w:rsid w:val="00DC018D"/>
    <w:rsid w:val="00DC57D8"/>
    <w:rsid w:val="00DD2339"/>
    <w:rsid w:val="00E00EB8"/>
    <w:rsid w:val="00E466D1"/>
    <w:rsid w:val="00E66E58"/>
    <w:rsid w:val="00E70F3B"/>
    <w:rsid w:val="00E8025D"/>
    <w:rsid w:val="00F83177"/>
    <w:rsid w:val="00FB09BB"/>
    <w:rsid w:val="00FF01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1FAA7"/>
  <w15:chartTrackingRefBased/>
  <w15:docId w15:val="{A992E52A-0C54-9645-8212-A369AFE97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3340"/>
    <w:pPr>
      <w:ind w:left="720"/>
      <w:contextualSpacing/>
    </w:pPr>
  </w:style>
  <w:style w:type="character" w:styleId="CommentReference">
    <w:name w:val="annotation reference"/>
    <w:basedOn w:val="DefaultParagraphFont"/>
    <w:uiPriority w:val="99"/>
    <w:semiHidden/>
    <w:unhideWhenUsed/>
    <w:rsid w:val="002448DC"/>
    <w:rPr>
      <w:sz w:val="16"/>
      <w:szCs w:val="16"/>
    </w:rPr>
  </w:style>
  <w:style w:type="paragraph" w:styleId="CommentText">
    <w:name w:val="annotation text"/>
    <w:basedOn w:val="Normal"/>
    <w:link w:val="CommentTextChar"/>
    <w:uiPriority w:val="99"/>
    <w:semiHidden/>
    <w:unhideWhenUsed/>
    <w:rsid w:val="002448DC"/>
    <w:rPr>
      <w:sz w:val="20"/>
      <w:szCs w:val="20"/>
    </w:rPr>
  </w:style>
  <w:style w:type="character" w:customStyle="1" w:styleId="CommentTextChar">
    <w:name w:val="Comment Text Char"/>
    <w:basedOn w:val="DefaultParagraphFont"/>
    <w:link w:val="CommentText"/>
    <w:uiPriority w:val="99"/>
    <w:semiHidden/>
    <w:rsid w:val="002448DC"/>
    <w:rPr>
      <w:sz w:val="20"/>
      <w:szCs w:val="20"/>
    </w:rPr>
  </w:style>
  <w:style w:type="paragraph" w:styleId="CommentSubject">
    <w:name w:val="annotation subject"/>
    <w:basedOn w:val="CommentText"/>
    <w:next w:val="CommentText"/>
    <w:link w:val="CommentSubjectChar"/>
    <w:uiPriority w:val="99"/>
    <w:semiHidden/>
    <w:unhideWhenUsed/>
    <w:rsid w:val="002448DC"/>
    <w:rPr>
      <w:b/>
      <w:bCs/>
    </w:rPr>
  </w:style>
  <w:style w:type="character" w:customStyle="1" w:styleId="CommentSubjectChar">
    <w:name w:val="Comment Subject Char"/>
    <w:basedOn w:val="CommentTextChar"/>
    <w:link w:val="CommentSubject"/>
    <w:uiPriority w:val="99"/>
    <w:semiHidden/>
    <w:rsid w:val="002448DC"/>
    <w:rPr>
      <w:b/>
      <w:bCs/>
      <w:sz w:val="20"/>
      <w:szCs w:val="20"/>
    </w:rPr>
  </w:style>
  <w:style w:type="paragraph" w:styleId="BalloonText">
    <w:name w:val="Balloon Text"/>
    <w:basedOn w:val="Normal"/>
    <w:link w:val="BalloonTextChar"/>
    <w:uiPriority w:val="99"/>
    <w:semiHidden/>
    <w:unhideWhenUsed/>
    <w:rsid w:val="002448D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448DC"/>
    <w:rPr>
      <w:rFonts w:ascii="Times New Roman" w:hAnsi="Times New Roman" w:cs="Times New Roman"/>
      <w:sz w:val="18"/>
      <w:szCs w:val="18"/>
    </w:rPr>
  </w:style>
  <w:style w:type="character" w:styleId="Strong">
    <w:name w:val="Strong"/>
    <w:basedOn w:val="DefaultParagraphFont"/>
    <w:uiPriority w:val="22"/>
    <w:qFormat/>
    <w:rsid w:val="003B29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127867">
      <w:bodyDiv w:val="1"/>
      <w:marLeft w:val="0"/>
      <w:marRight w:val="0"/>
      <w:marTop w:val="0"/>
      <w:marBottom w:val="0"/>
      <w:divBdr>
        <w:top w:val="none" w:sz="0" w:space="0" w:color="auto"/>
        <w:left w:val="none" w:sz="0" w:space="0" w:color="auto"/>
        <w:bottom w:val="none" w:sz="0" w:space="0" w:color="auto"/>
        <w:right w:val="none" w:sz="0" w:space="0" w:color="auto"/>
      </w:divBdr>
    </w:div>
    <w:div w:id="1091466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6</Pages>
  <Words>8575</Words>
  <Characters>48880</Characters>
  <Application>Microsoft Office Word</Application>
  <DocSecurity>0</DocSecurity>
  <Lines>407</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40</cp:revision>
  <dcterms:created xsi:type="dcterms:W3CDTF">2020-11-23T19:41:00Z</dcterms:created>
  <dcterms:modified xsi:type="dcterms:W3CDTF">2020-12-09T23:48:00Z</dcterms:modified>
</cp:coreProperties>
</file>