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1670A969"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body size and </w:t>
      </w:r>
      <w:r w:rsidR="00F813C9">
        <w:rPr>
          <w:rFonts w:ascii="Times New Roman" w:hAnsi="Times New Roman" w:cs="Times New Roman"/>
        </w:rPr>
        <w:t xml:space="preserve">predator </w:t>
      </w:r>
      <w:r w:rsidR="00F66AC9">
        <w:rPr>
          <w:rFonts w:ascii="Times New Roman" w:hAnsi="Times New Roman" w:cs="Times New Roman"/>
        </w:rPr>
        <w:t xml:space="preserve">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2B0F4DC5" w:rsidR="004F1FFA" w:rsidRDefault="00CC465F" w:rsidP="003F3823">
      <w:pPr>
        <w:rPr>
          <w:rFonts w:ascii="Times New Roman" w:hAnsi="Times New Roman" w:cs="Times New Roman"/>
        </w:rPr>
      </w:pPr>
      <w:r>
        <w:rPr>
          <w:rFonts w:ascii="Times New Roman" w:hAnsi="Times New Roman" w:cs="Times New Roman"/>
        </w:rPr>
        <w:t xml:space="preserve">Invited </w:t>
      </w:r>
      <w:r w:rsidR="00B46515">
        <w:rPr>
          <w:rFonts w:ascii="Times New Roman" w:hAnsi="Times New Roman" w:cs="Times New Roman"/>
        </w:rPr>
        <w:t>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proofErr w:type="gramStart"/>
      <w:r w:rsidR="00C924D0">
        <w:rPr>
          <w:rFonts w:ascii="Times New Roman" w:hAnsi="Times New Roman" w:cs="Times New Roman"/>
        </w:rPr>
        <w:t>An</w:t>
      </w:r>
      <w:proofErr w:type="gramEnd"/>
      <w:r w:rsidR="00C924D0">
        <w:rPr>
          <w:rFonts w:ascii="Times New Roman" w:hAnsi="Times New Roman" w:cs="Times New Roman"/>
        </w:rPr>
        <w:t xml:space="preserve"> Bui, Bart, DiFiore, Elizabeth Forbes, Devyn Orr, Michelle Lee, Daniel Preston, Rachel </w:t>
      </w:r>
      <w:proofErr w:type="spellStart"/>
      <w:r w:rsidR="00C924D0">
        <w:rPr>
          <w:rFonts w:ascii="Times New Roman" w:hAnsi="Times New Roman" w:cs="Times New Roman"/>
        </w:rPr>
        <w:t>Behm</w:t>
      </w:r>
      <w:proofErr w:type="spellEnd"/>
      <w:r w:rsidR="00C924D0">
        <w:rPr>
          <w:rFonts w:ascii="Times New Roman" w:hAnsi="Times New Roman" w:cs="Times New Roman"/>
        </w:rPr>
        <w:t xml:space="preserve">, </w:t>
      </w:r>
      <w:r w:rsidR="00C34DA1">
        <w:rPr>
          <w:rFonts w:ascii="Times New Roman" w:hAnsi="Times New Roman" w:cs="Times New Roman"/>
        </w:rPr>
        <w:t xml:space="preserve">Taylor </w:t>
      </w:r>
      <w:proofErr w:type="spellStart"/>
      <w:r w:rsidR="00C34DA1">
        <w:rPr>
          <w:rFonts w:ascii="Times New Roman" w:hAnsi="Times New Roman" w:cs="Times New Roman"/>
        </w:rPr>
        <w:t>Bogar</w:t>
      </w:r>
      <w:proofErr w:type="spellEnd"/>
      <w:r w:rsidR="00C34DA1">
        <w:rPr>
          <w:rFonts w:ascii="Times New Roman" w:hAnsi="Times New Roman" w:cs="Times New Roman"/>
        </w:rPr>
        <w:t xml:space="preserve">, Jasmine Childress, Rodolfo </w:t>
      </w:r>
      <w:proofErr w:type="spellStart"/>
      <w:r w:rsidR="00C34DA1">
        <w:rPr>
          <w:rFonts w:ascii="Times New Roman" w:hAnsi="Times New Roman" w:cs="Times New Roman"/>
        </w:rPr>
        <w:t>Dirzo</w:t>
      </w:r>
      <w:proofErr w:type="spellEnd"/>
      <w:r w:rsidR="00C34DA1">
        <w:rPr>
          <w:rFonts w:ascii="Times New Roman" w:hAnsi="Times New Roman" w:cs="Times New Roman"/>
        </w:rPr>
        <w:t xml:space="preserve">, </w:t>
      </w:r>
      <w:proofErr w:type="spellStart"/>
      <w:r w:rsidR="00C34DA1">
        <w:rPr>
          <w:rFonts w:ascii="Times New Roman" w:hAnsi="Times New Roman" w:cs="Times New Roman"/>
        </w:rPr>
        <w:t>Magalay</w:t>
      </w:r>
      <w:proofErr w:type="spellEnd"/>
      <w:r w:rsidR="00C34DA1">
        <w:rPr>
          <w:rFonts w:ascii="Times New Roman" w:hAnsi="Times New Roman" w:cs="Times New Roman"/>
        </w:rPr>
        <w:t xml:space="preserve"> Espinoza, </w:t>
      </w:r>
      <w:r w:rsidR="004F1FFA">
        <w:rPr>
          <w:rFonts w:ascii="Times New Roman" w:hAnsi="Times New Roman" w:cs="Times New Roman"/>
        </w:rPr>
        <w:t xml:space="preserve">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xml:space="preserve">, Kevin Lafferty, John McLaughlin, Marisa Morse, Carina Motta, Katherine Plummer, Chelsea Steele, </w:t>
      </w:r>
      <w:r w:rsidR="00D12B96">
        <w:rPr>
          <w:rFonts w:ascii="Times New Roman" w:hAnsi="Times New Roman" w:cs="Times New Roman"/>
        </w:rPr>
        <w:t xml:space="preserve">David Weber, </w:t>
      </w:r>
      <w:r w:rsidR="00B40560">
        <w:rPr>
          <w:rFonts w:ascii="Times New Roman" w:hAnsi="Times New Roman" w:cs="Times New Roman"/>
        </w:rPr>
        <w:t xml:space="preserve">Ronny Young,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2F2567A8" w14:textId="5B6919D2" w:rsidR="00D05875" w:rsidRDefault="001A3F08" w:rsidP="003F3823">
      <w:pPr>
        <w:rPr>
          <w:rFonts w:ascii="Times New Roman" w:hAnsi="Times New Roman" w:cs="Times New Roman"/>
        </w:rPr>
      </w:pPr>
      <w:proofErr w:type="spellStart"/>
      <w:r>
        <w:rPr>
          <w:rFonts w:ascii="Times New Roman" w:hAnsi="Times New Roman" w:cs="Times New Roman"/>
        </w:rPr>
        <w:t>ProcB</w:t>
      </w:r>
      <w:proofErr w:type="spellEnd"/>
      <w:r w:rsidR="00291AAB">
        <w:rPr>
          <w:rFonts w:ascii="Times New Roman" w:hAnsi="Times New Roman" w:cs="Times New Roman"/>
        </w:rPr>
        <w:t xml:space="preserve">: </w:t>
      </w:r>
      <w:r>
        <w:rPr>
          <w:rFonts w:ascii="Times New Roman" w:hAnsi="Times New Roman" w:cs="Times New Roman"/>
        </w:rPr>
        <w:t xml:space="preserve">6 MS pages, </w:t>
      </w:r>
      <w:r w:rsidR="00D05875">
        <w:rPr>
          <w:rFonts w:ascii="Times New Roman" w:hAnsi="Times New Roman" w:cs="Times New Roman"/>
        </w:rPr>
        <w:t>~4</w:t>
      </w:r>
      <w:r w:rsidR="00353D0D">
        <w:rPr>
          <w:rFonts w:ascii="Times New Roman" w:hAnsi="Times New Roman" w:cs="Times New Roman"/>
        </w:rPr>
        <w:t>2</w:t>
      </w:r>
      <w:r w:rsidR="00D05875">
        <w:rPr>
          <w:rFonts w:ascii="Times New Roman" w:hAnsi="Times New Roman" w:cs="Times New Roman"/>
        </w:rPr>
        <w:t xml:space="preserve">00 words + 3 figures from abstract to end of literature cited. </w:t>
      </w:r>
    </w:p>
    <w:p w14:paraId="79755304" w14:textId="77777777" w:rsidR="00D05875" w:rsidRDefault="00D05875" w:rsidP="003F3823">
      <w:pPr>
        <w:rPr>
          <w:rFonts w:ascii="Times New Roman" w:hAnsi="Times New Roman" w:cs="Times New Roman"/>
        </w:rPr>
      </w:pPr>
    </w:p>
    <w:p w14:paraId="3F32FAC3" w14:textId="67D0B45F" w:rsidR="00E26CAC" w:rsidRDefault="00B66A52" w:rsidP="003F3823">
      <w:pPr>
        <w:rPr>
          <w:rFonts w:ascii="Times New Roman" w:hAnsi="Times New Roman" w:cs="Times New Roman"/>
        </w:rPr>
      </w:pPr>
      <w:commentRangeStart w:id="0"/>
      <w:commentRangeEnd w:id="0"/>
      <w:r>
        <w:rPr>
          <w:rStyle w:val="CommentReference"/>
        </w:rPr>
        <w:commentReference w:id="0"/>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2CC6584E" w14:textId="501F8D8F"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w:t>
      </w:r>
      <w:r w:rsidR="00402708">
        <w:rPr>
          <w:rFonts w:ascii="Times New Roman" w:hAnsi="Times New Roman" w:cs="Times New Roman"/>
        </w:rPr>
        <w:t>y</w:t>
      </w:r>
      <w:r>
        <w:rPr>
          <w:rFonts w:ascii="Times New Roman" w:hAnsi="Times New Roman" w:cs="Times New Roman"/>
        </w:rPr>
        <w:t xml:space="preserve">. </w:t>
      </w:r>
      <w:r w:rsidR="00402708" w:rsidRPr="00402708">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w:t>
      </w:r>
      <w:r w:rsidR="00402708">
        <w:rPr>
          <w:rFonts w:ascii="Times New Roman" w:hAnsi="Times New Roman" w:cs="Times New Roman"/>
        </w:rPr>
        <w:t xml:space="preserve">community body size </w:t>
      </w:r>
      <w:r>
        <w:rPr>
          <w:rFonts w:ascii="Times New Roman" w:hAnsi="Times New Roman" w:cs="Times New Roman"/>
        </w:rPr>
        <w:t>data</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shape interactions</w:t>
      </w:r>
      <w:r>
        <w:rPr>
          <w:rFonts w:ascii="Times New Roman" w:hAnsi="Times New Roman" w:cs="Times New Roman"/>
        </w:rPr>
        <w:t xml:space="preserve">. </w:t>
      </w:r>
      <w:r w:rsidR="00402708">
        <w:rPr>
          <w:rFonts w:ascii="Times New Roman" w:hAnsi="Times New Roman" w:cs="Times New Roman"/>
        </w:rPr>
        <w:t xml:space="preserve">Using a total of </w:t>
      </w:r>
      <w:r w:rsidR="00B26C4B">
        <w:rPr>
          <w:rFonts w:ascii="Times New Roman" w:hAnsi="Times New Roman" w:cs="Times New Roman"/>
        </w:rPr>
        <w:t>335 individual predator-prey interactions</w:t>
      </w:r>
      <w:r w:rsidR="00402708">
        <w:rPr>
          <w:rFonts w:ascii="Times New Roman" w:hAnsi="Times New Roman" w:cs="Times New Roman"/>
        </w:rPr>
        <w:t>, we</w:t>
      </w:r>
      <w:r w:rsidR="00B26C4B">
        <w:rPr>
          <w:rFonts w:ascii="Times New Roman" w:hAnsi="Times New Roman" w:cs="Times New Roman"/>
        </w:rPr>
        <w:t xml:space="preserve">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consume larger prey proportional to individual predator body size than do predator individuals that do not use webs. </w:t>
      </w:r>
      <w:r w:rsidR="00402708">
        <w:rPr>
          <w:rFonts w:ascii="Times New Roman" w:hAnsi="Times New Roman" w:cs="Times New Roman"/>
        </w:rPr>
        <w:t xml:space="preserve">Web use was a stronger predictor of this pattern than other hunting traits, including </w:t>
      </w:r>
      <w:r w:rsidR="00B26C4B">
        <w:rPr>
          <w:rFonts w:ascii="Times New Roman" w:hAnsi="Times New Roman" w:cs="Times New Roman"/>
        </w:rPr>
        <w:t>venom</w:t>
      </w:r>
      <w:r w:rsidR="00402708">
        <w:rPr>
          <w:rFonts w:ascii="Times New Roman" w:hAnsi="Times New Roman" w:cs="Times New Roman"/>
        </w:rPr>
        <w:t xml:space="preserve"> use</w:t>
      </w:r>
      <w:r w:rsidR="00B26C4B">
        <w:rPr>
          <w:rFonts w:ascii="Times New Roman" w:hAnsi="Times New Roman" w:cs="Times New Roman"/>
        </w:rPr>
        <w:t xml:space="preserve"> and active versus sit-and-wait hunting mode</w:t>
      </w:r>
      <w:r w:rsidR="00402708">
        <w:rPr>
          <w:rFonts w:ascii="Times New Roman" w:hAnsi="Times New Roman" w:cs="Times New Roman"/>
        </w:rPr>
        <w:t>s</w:t>
      </w:r>
      <w:r w:rsidR="00B26C4B">
        <w:rPr>
          <w:rFonts w:ascii="Times New Roman" w:hAnsi="Times New Roman" w:cs="Times New Roman"/>
        </w:rPr>
        <w:t xml:space="preserve">. </w:t>
      </w:r>
      <w:r w:rsidR="002B0AC6">
        <w:rPr>
          <w:rFonts w:ascii="Times New Roman" w:hAnsi="Times New Roman" w:cs="Times New Roman"/>
        </w:rPr>
        <w:t>Our findings</w:t>
      </w:r>
      <w:r w:rsidR="00D54F0A">
        <w:rPr>
          <w:rFonts w:ascii="Times New Roman" w:hAnsi="Times New Roman" w:cs="Times New Roman"/>
        </w:rPr>
        <w:t xml:space="preserve"> indicate that predator-prey traits are important in shaping trophic interactions in</w:t>
      </w:r>
      <w:r w:rsidR="002B0AC6">
        <w:rPr>
          <w:rFonts w:ascii="Times New Roman" w:hAnsi="Times New Roman" w:cs="Times New Roman"/>
        </w:rPr>
        <w:t xml:space="preserve"> invertebrate food webs and </w:t>
      </w:r>
      <w:r w:rsidR="00402708">
        <w:rPr>
          <w:rFonts w:ascii="Times New Roman" w:hAnsi="Times New Roman" w:cs="Times New Roman"/>
        </w:rPr>
        <w:t>could help predict</w:t>
      </w:r>
      <w:r w:rsidR="002B0AC6">
        <w:rPr>
          <w:rFonts w:ascii="Times New Roman" w:hAnsi="Times New Roman" w:cs="Times New Roman"/>
        </w:rPr>
        <w:t xml:space="preserve">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0200B640"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w:t>
      </w:r>
      <w:r w:rsidR="00F813C9">
        <w:rPr>
          <w:rFonts w:ascii="Times New Roman" w:hAnsi="Times New Roman" w:cs="Times New Roman"/>
        </w:rPr>
        <w:t xml:space="preserve"> spider, insect,</w:t>
      </w:r>
      <w:r w:rsidR="00BC5DEF">
        <w:rPr>
          <w:rFonts w:ascii="Times New Roman" w:hAnsi="Times New Roman" w:cs="Times New Roman"/>
        </w:rPr>
        <w:t xml:space="preserve"> </w:t>
      </w:r>
      <w:commentRangeStart w:id="1"/>
      <w:r w:rsidR="00831D06">
        <w:rPr>
          <w:rFonts w:ascii="Times New Roman" w:hAnsi="Times New Roman" w:cs="Times New Roman"/>
        </w:rPr>
        <w:t>three more here?</w:t>
      </w:r>
      <w:commentRangeEnd w:id="1"/>
      <w:r w:rsidR="00E22E12">
        <w:rPr>
          <w:rStyle w:val="CommentReference"/>
        </w:rPr>
        <w:commentReference w:id="1"/>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7C9EA1AE" w14:textId="73E44C34"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biodiversity","type":"article-journal","volume":"29"},"uris":["http://www.mendeley.com/documents/?uuid=c35ab0ff-4310-4533-997d-10b953a00ee5"]}],"mendeley":{"formattedCitation":"(McCann 2000, Brodie et al. 2014)","plainTextFormattedCitation":"(McCann 2000, Brodie et al. 2014)","previouslyFormattedCitation":"(McCann 2000, Brodie et al. 2014)"},"properties":{"noteIndex":0},"schema":"https://github.com/citation-style-language/schema/raw/master/csl-citation.json"}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(McCann 2000, Brodie et al. 2014)</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framework; specifically, species identity or phylogenetic relatedness shapes feeding interactions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webs","type":"article-journal","volume":"78"},"uris":["http://www.mendeley.com/documents/?uuid=6a4ebec0-e1fc-49a9-ba1c-45a18036978d"]}],"mendeley":{"formattedCitation":"(Ings et al. 2009)","plainTextFormattedCitation":"(Ings et al. 2009)","previouslyFormattedCitation":"(Ings et al. 2009)"},"properties":{"noteIndex":0},"schema":"https://github.com/citation-style-language/schema/raw/master/csl-citation.json"}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(Ings et al. 2009)</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networks","type":"article-journal","volume":"20"},"uris":["http://www.mendeley.com/documents/?uuid=c44bd009-d5d4-40e9-b989-a25a3a7f23fb"]}],"mendeley":{"formattedCitation":"(Woodward et al. 2005)","plainTextFormattedCitation":"(Woodward et al. 2005)","previouslyFormattedCitation":"(Woodward et al. 2005)"},"properties":{"noteIndex":0},"schema":"https://github.com/citation-style-language/schema/raw/master/csl-citation.json"}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relationships","type":"article-journal","volume":"4"},"uris":["http://www.mendeley.com/documents/?uuid=4448492a-5bf5-407a-9d57-8d5b187f76ea"]}],"mendeley":{"formattedCitation":"(Stouffer et al. 2005, Woodward et al. 2005, Gravel et al. 2013, Nakazawa 2017)","plainTextFormattedCitation":"(Stouffer et al. 2005, Woodward et al. 2005, Gravel et al. 2013, Nakazawa 2017)","previouslyFormattedCitation":"(Stouffer et al. 2005, Woodward et al. 2005, Gravel et al. 2013, Nakazawa 2017)"},"properties":{"noteIndex":0},"schema":"https://github.com/citation-style-language/schema/raw/master/csl-citation.json"}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(Stouffer et al. 2005, Woodward et al. 2005, Gravel et al. 2013, Nakazawa 2017)</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empirically-observed patterns (e.g.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interactions","type":"article-journal","volume":"5"},"uris":["http://www.mendeley.com/documents/?uuid=a360129c-bc30-471d-8c25-c40d37508c80"]},{"id":"ITEM-2","itemData":{"DOI":"10.1111/2041-210X.13125","ISSN":"2041210X","abstract":"Food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Evolution","id":"ITEM-2","issue":"3","issued":{"date-parts":[["2019"]]},"page":"356-367","title":"Inferring predator–prey interactions in food webs","type":"article-journal","volume":"10"},"uris":["http://www.mendeley.com/documents/?uuid=df3e6719-a9b8-4410-add1-db4cd678eff9"]},{"id":"ITEM-3","itemData":{"DOI":"10.1038/s41559-019-0899-x","ISSN":"2397334X","PMID":"31110252","abstract":"Predator–prey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B","id":"ITEM-4","issued":{"date-parts":[["2014"]]},"page":"20133203","title":"Resolving the roles of body size and species identity in driving functional diversity","type":"article-journal","volume":"281"},"uris":["http://www.mendeley.com/documents/?uuid=d2f7d2a4-60b9-48d2-8d44-1749ffe2c62f"]}],"mendeley":{"formattedCitation":"(Rudolf et al. 2014, Gray et al. 2015, Brose et al. 2019, Pomeranz et al. 2019)","manualFormatting":"Rudolf et al. 2014, Gray et al. 2015, Brose et al. 2019, Pomeranz et al. 2019)","plainTextFormattedCitation":"(Rudolf et al. 2014, Gray et al. 2015, Brose et al. 2019, Pomeranz et al. 2019)","previouslyFormattedCitation":"(Rudolf et al. 2014, Gray et al. 2015, Brose et al. 2019, Pomeranz et al. 2019)"},"properties":{"noteIndex":0},"schema":"https://github.com/citation-style-language/schema/raw/master/csl-citation.json"}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Rudolf et al. 2014, Gray et al. 2015, Brose et al. 2019, Pomeranz et al. 2019)</w:t>
      </w:r>
      <w:r w:rsidR="001C47DB">
        <w:rPr>
          <w:rFonts w:ascii="Times New Roman" w:hAnsi="Times New Roman" w:cs="Times New Roman"/>
        </w:rPr>
        <w:fldChar w:fldCharType="end"/>
      </w:r>
      <w:r w:rsidR="001C47DB">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world","type":"article-journal","volume":"29"},"uris":["http://www.mendeley.com/documents/?uuid=13398ba8-1177-4aba-9b88-1178c30effc6"]}],"mendeley":{"formattedCitation":"(Valiente-Banuet et al. 2015)","plainTextFormattedCitation":"(Valiente-Banuet et al. 2015)","previouslyFormattedCitation":"(Valiente-Banuet et al. 2015)"},"properties":{"noteIndex":0},"schema":"https://github.com/citation-style-language/schema/raw/master/csl-citation.json"}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(Valiente-Banuet et al. 2015)</w:t>
      </w:r>
      <w:r w:rsidR="001C47DB">
        <w:rPr>
          <w:rFonts w:ascii="Times New Roman" w:hAnsi="Times New Roman" w:cs="Times New Roman"/>
        </w:rPr>
        <w:fldChar w:fldCharType="end"/>
      </w:r>
      <w:r w:rsidR="001C47DB">
        <w:rPr>
          <w:rFonts w:ascii="Times New Roman" w:hAnsi="Times New Roman" w:cs="Times New Roman"/>
        </w:rPr>
        <w:t>.</w:t>
      </w:r>
    </w:p>
    <w:p w14:paraId="0CB6FD9F" w14:textId="632C68EE" w:rsidR="00AB0CAD" w:rsidRDefault="00AB0CAD" w:rsidP="003F3823">
      <w:pPr>
        <w:rPr>
          <w:rFonts w:ascii="Times New Roman" w:hAnsi="Times New Roman" w:cs="Times New Roman"/>
        </w:rPr>
      </w:pPr>
    </w:p>
    <w:p w14:paraId="40AA5AF6" w14:textId="01E1D637" w:rsidR="00402708" w:rsidRDefault="00714A1E" w:rsidP="00696010">
      <w:pPr>
        <w:autoSpaceDE w:val="0"/>
        <w:autoSpaceDN w:val="0"/>
        <w:adjustRightInd w:val="0"/>
        <w:rPr>
          <w:rFonts w:ascii="Times New Roman" w:hAnsi="Times New Roman" w:cs="Times New Roman"/>
        </w:rPr>
      </w:pPr>
      <w:r>
        <w:rPr>
          <w:rFonts w:ascii="Times New Roman" w:hAnsi="Times New Roman" w:cs="Times New Roman"/>
        </w:rPr>
        <w:t xml:space="preserve">While a few general rules </w:t>
      </w:r>
      <w:r w:rsidR="00D54F0A">
        <w:rPr>
          <w:rFonts w:ascii="Times New Roman" w:hAnsi="Times New Roman" w:cs="Times New Roman"/>
        </w:rPr>
        <w:t>sometimes</w:t>
      </w:r>
      <w:r>
        <w:rPr>
          <w:rFonts w:ascii="Times New Roman" w:hAnsi="Times New Roman" w:cs="Times New Roman"/>
        </w:rPr>
        <w:t xml:space="preserve"> predict patterns in </w:t>
      </w:r>
      <w:r w:rsidR="00D54F0A">
        <w:rPr>
          <w:rFonts w:ascii="Times New Roman" w:hAnsi="Times New Roman" w:cs="Times New Roman"/>
        </w:rPr>
        <w:t xml:space="preserve">empirical </w:t>
      </w:r>
      <w:r w:rsidR="000E1D95">
        <w:rPr>
          <w:rFonts w:ascii="Times New Roman" w:hAnsi="Times New Roman" w:cs="Times New Roman"/>
        </w:rPr>
        <w:t xml:space="preserve">food webs </w:t>
      </w:r>
      <w:r w:rsidR="00FB5F0B">
        <w:rPr>
          <w:rFonts w:ascii="Times New Roman" w:hAnsi="Times New Roman" w:cs="Times New Roman"/>
        </w:rPr>
        <w:t xml:space="preserve">(e.g. </w:t>
      </w:r>
      <w:r w:rsidR="00696010">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relationships","type":"article-journal","volume":"4"},"uris":["http://www.mendeley.com/documents/?uuid=4448492a-5bf5-407a-9d57-8d5b187f76ea"]}],"mendeley":{"formattedCitation":"(Gravel et al. 2013)","manualFormatting":"Gravel et al. 2013)","plainTextFormattedCitation":"(Gravel et al. 2013)","previouslyFormattedCitation":"(Gravel et al. 2013)"},"properties":{"noteIndex":0},"schema":"https://github.com/citation-style-language/schema/raw/master/csl-citation.json"}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Gravel et al. 2013)</w:t>
      </w:r>
      <w:r w:rsidR="00696010">
        <w:rPr>
          <w:rFonts w:ascii="Times New Roman" w:hAnsi="Times New Roman" w:cs="Times New Roman"/>
        </w:rPr>
        <w:fldChar w:fldCharType="end"/>
      </w:r>
      <w:r w:rsidR="00696010">
        <w:rPr>
          <w:rFonts w:ascii="Times New Roman" w:hAnsi="Times New Roman" w:cs="Times New Roman"/>
        </w:rPr>
        <w:t>,</w:t>
      </w:r>
      <w:r>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696010">
        <w:rPr>
          <w:rFonts w:ascii="Times New Roman" w:hAnsi="Times New Roman" w:cs="Times New Roman"/>
        </w:rPr>
        <w:t xml:space="preserve"> </w:t>
      </w:r>
      <w:r w:rsidR="00696010">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Web","type":"book","volume":"42"},"uris":["http://www.mendeley.com/documents/?uuid=8ab34f96-4f34-4e55-bc8f-c3a5b3d1b737"]}],"mendeley":{"formattedCitation":"(Sheppard and Harwood 2005, McLaughlin et al. 2010)","plainTextFormattedCitation":"(Sheppard and Harwood 2005, McLaughlin et al. 2010)","previouslyFormattedCitation":"(Sheppard and Harwood 2005, McLaughlin et al. 2010)"},"properties":{"noteIndex":0},"schema":"https://github.com/citation-style-language/schema/raw/master/csl-citation.json"}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(Sheppard and Harwood 2005, McLaughlin et al. 2010)</w:t>
      </w:r>
      <w:r w:rsidR="00696010">
        <w:rPr>
          <w:rFonts w:ascii="Times New Roman" w:hAnsi="Times New Roman" w:cs="Times New Roman"/>
        </w:rPr>
        <w:fldChar w:fldCharType="end"/>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lastRenderedPageBreak/>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w:t>
      </w:r>
      <w:proofErr w:type="gramStart"/>
      <w:r w:rsidR="001D1F0B">
        <w:rPr>
          <w:rFonts w:ascii="Times New Roman" w:hAnsi="Times New Roman" w:cs="Times New Roman"/>
        </w:rPr>
        <w:t>phylogenetically-related</w:t>
      </w:r>
      <w:proofErr w:type="gramEnd"/>
      <w:r w:rsidR="001D1F0B">
        <w:rPr>
          <w:rFonts w:ascii="Times New Roman" w:hAnsi="Times New Roman" w:cs="Times New Roman"/>
        </w:rPr>
        <w:t xml:space="preserve"> species </w:t>
      </w:r>
      <w:r w:rsidR="0076528A">
        <w:rPr>
          <w:rFonts w:ascii="Times New Roman" w:hAnsi="Times New Roman" w:cs="Times New Roman"/>
        </w:rPr>
        <w:t xml:space="preserve">(e.g. </w:t>
      </w:r>
      <w:r w:rsidR="00696010">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breadth\"","type":"article-journal","volume":"117"},"uris":["http://www.mendeley.com/documents/?uuid=7e97126c-5a1d-4476-a285-bfd16d198161"]}],"mendeley":{"formattedCitation":"(Simberloff and Wilson 1969, Piechnik et al. 2008, Laigle et al. 2018)","plainTextFormattedCitation":"(Simberloff and Wilson 1969, Piechnik et al. 2008, Laigle et al. 2018)","previouslyFormattedCitation":"(Simberloff and Wilson 1969, Piechnik et al. 2008, Laigle et al. 2018)"},"properties":{"noteIndex":0},"schema":"https://github.com/citation-style-language/schema/raw/master/csl-citation.json"}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(Simberloff and Wilson 1969, Piechnik et al. 2008, Laigle et al. 2018)</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constraints (e.g.</w:t>
      </w:r>
      <w:r w:rsidR="00696010">
        <w:rPr>
          <w:rFonts w:ascii="Times New Roman" w:hAnsi="Times New Roman" w:cs="Times New Roman"/>
        </w:rPr>
        <w:t xml:space="preserve"> </w:t>
      </w:r>
      <w:r w:rsidR="00696010">
        <w:rPr>
          <w:rFonts w:ascii="Times New Roman" w:hAnsi="Times New Roman" w:cs="Times New Roman"/>
        </w:rPr>
        <w:fldChar w:fldCharType="begin" w:fldLock="1"/>
      </w:r>
      <w:r w:rsidR="003B1307">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grassland","type":"article-journal","volume":"100"},"uris":["http://www.mendeley.com/documents/?uuid=9e52bc16-2e0b-41c3-b6a8-b77bedd700b6"]}],"mendeley":{"formattedCitation":"(Digel et al. 2014, Laigle et al. 2018, Hines et al. 2019)","manualFormatting":"Digel et al. 2014, Laigle et al. 2018, Hines et al. 2019)","plainTextFormattedCitation":"(Digel et al. 2014, Laigle et al. 2018, Hines et al. 2019)","previouslyFormattedCitation":"(Digel et al. 2014, Laigle et al. 2018, Hines et al. 2019)"},"properties":{"noteIndex":0},"schema":"https://github.com/citation-style-language/schema/raw/master/csl-citation.json"}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Digel et al. 2014, Laigle et al. 2018, Hines et al. 2019)</w:t>
      </w:r>
      <w:r w:rsidR="00696010">
        <w:rPr>
          <w:rFonts w:ascii="Times New Roman" w:hAnsi="Times New Roman" w:cs="Times New Roman"/>
        </w:rPr>
        <w:fldChar w:fldCharType="end"/>
      </w:r>
      <w:r w:rsidR="003B1307">
        <w:rPr>
          <w:rFonts w:ascii="Times New Roman" w:hAnsi="Times New Roman" w:cs="Times New Roman"/>
        </w:rPr>
        <w:t xml:space="preserve">, </w:t>
      </w:r>
      <w:r w:rsidR="00696D8E">
        <w:rPr>
          <w:rFonts w:ascii="Times New Roman" w:hAnsi="Times New Roman" w:cs="Times New Roman"/>
        </w:rPr>
        <w:t xml:space="preserve">derived from mesocosms or feeding trials which include only pre-defined predator-prey identity pairs (e.g. </w:t>
      </w:r>
      <w:r w:rsidR="003B1307">
        <w:rPr>
          <w:rFonts w:ascii="Times New Roman" w:hAnsi="Times New Roman" w:cs="Times New Roman"/>
        </w:rPr>
        <w:fldChar w:fldCharType="begin" w:fldLock="1"/>
      </w:r>
      <w:r w:rsidR="00F977A0">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levels","type":"article-journal","volume":"123"},"uris":["http://www.mendeley.com/documents/?uuid=aa34e369-0df4-4c09-af6d-c5ccfdabf0c8"]}],"mendeley":{"formattedCitation":"(Rall et al. 2011, Digel et al. 2014, Rudolf et al. 2014)","manualFormatting":"Rall et al. 2011, Digel et al. 2014, Rudolf et al. 2014)","plainTextFormattedCitation":"(Rall et al. 2011, Digel et al. 2014, Rudolf et al. 2014)","previouslyFormattedCitation":"(Rall et al. 2011, Digel et al. 2014, Rudolf et al. 2014)"},"properties":{"noteIndex":0},"schema":"https://github.com/citation-style-language/schema/raw/master/csl-citation.json"}</w:instrText>
      </w:r>
      <w:r w:rsidR="003B1307">
        <w:rPr>
          <w:rFonts w:ascii="Times New Roman" w:hAnsi="Times New Roman" w:cs="Times New Roman"/>
        </w:rPr>
        <w:fldChar w:fldCharType="separate"/>
      </w:r>
      <w:r w:rsidR="003B1307" w:rsidRPr="003B1307">
        <w:rPr>
          <w:rFonts w:ascii="Times New Roman" w:hAnsi="Times New Roman" w:cs="Times New Roman"/>
          <w:noProof/>
        </w:rPr>
        <w:t>Rall et al. 2011, Digel et al. 2014, Rudolf et al. 2014)</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w:t>
      </w:r>
      <w:r w:rsidR="00F977A0">
        <w:rPr>
          <w:rFonts w:ascii="Times New Roman" w:hAnsi="Times New Roman" w:cs="Times New Roman"/>
        </w:rPr>
        <w:fldChar w:fldCharType="begin" w:fldLock="1"/>
      </w:r>
      <w:r w:rsidR="002F52C7">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Earth","type":"article-journal","volume":"115"},"uris":["http://www.mendeley.com/documents/?uuid=fda04dcf-5d56-436d-acd2-f3b64850659b"]}],"mendeley":{"formattedCitation":"(Mora et al. 2011, Costello et al. 2013, Bar-On et al. 2018, Stork 2018)","plainTextFormattedCitation":"(Mora et al. 2011, Costello et al. 2013, Bar-On et al. 2018, Stork 2018)","previouslyFormattedCitation":"(Mora et al. 2011, Costello et al. 2013, Bar-On et al. 2018, Stork 2018)"},"properties":{"noteIndex":0},"schema":"https://github.com/citation-style-language/schema/raw/master/csl-citation.json"}</w:instrText>
      </w:r>
      <w:r w:rsidR="00F977A0">
        <w:rPr>
          <w:rFonts w:ascii="Times New Roman" w:hAnsi="Times New Roman" w:cs="Times New Roman"/>
        </w:rPr>
        <w:fldChar w:fldCharType="separate"/>
      </w:r>
      <w:r w:rsidR="00F977A0" w:rsidRPr="00F977A0">
        <w:rPr>
          <w:rFonts w:ascii="Times New Roman" w:hAnsi="Times New Roman" w:cs="Times New Roman"/>
          <w:noProof/>
        </w:rPr>
        <w:t>(Mora et al. 2011, Costello et al. 2013, Bar-On et al. 2018, Stork 2018)</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3F3823">
      <w:pPr>
        <w:rPr>
          <w:rFonts w:ascii="Times New Roman" w:hAnsi="Times New Roman" w:cs="Times New Roman"/>
        </w:rPr>
      </w:pPr>
    </w:p>
    <w:p w14:paraId="70E8307D" w14:textId="23BB3BED" w:rsidR="00186ECE" w:rsidRDefault="00B66A52" w:rsidP="003F3823">
      <w:pPr>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w:t>
      </w:r>
      <w:commentRangeStart w:id="2"/>
      <w:r w:rsidR="00405883">
        <w:rPr>
          <w:rFonts w:ascii="Times New Roman" w:hAnsi="Times New Roman" w:cs="Times New Roman"/>
        </w:rPr>
        <w:t>individuals</w:t>
      </w:r>
      <w:commentRangeEnd w:id="2"/>
      <w:r w:rsidR="002F52C7">
        <w:rPr>
          <w:rStyle w:val="CommentReference"/>
        </w:rPr>
        <w:commentReference w:id="2"/>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4D68AA04"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(Handler et al. 2007)</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environments","type":"article-journal"},"uris":["http://www.mendeley.com/documents/?uuid=8eae408a-b824-45f2-bc4f-ddb894294350"]}],"mendeley":{"formattedCitation":"(Greenstone et al. 2011, Miller-ter Kuile et al. 2020)","manualFormatting":"(Greenstone et al., 2011, Miller-ter Kuile et al. in revision)","plainTextFormattedCitation":"(Greenstone et al. 2011, Miller-ter Kuile et al. 2020)","previouslyFormattedCitation":"(Greenstone et al. 2011, Miller-ter Kuile et al. 2020)"},"properties":{"noteIndex":0},"schema":"https://github.com/citation-style-language/schema/raw/master/csl-citation.json"}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00B00773">
        <w:rPr>
          <w:rFonts w:ascii="Times New Roman" w:hAnsi="Times New Roman" w:cs="Times New Roman"/>
          <w:bCs/>
          <w:noProof/>
        </w:rPr>
        <w:t xml:space="preserve">, Miller-ter Kuile et al. </w:t>
      </w:r>
      <w:r w:rsidR="00B00773">
        <w:rPr>
          <w:rFonts w:ascii="Times New Roman" w:hAnsi="Times New Roman" w:cs="Times New Roman"/>
          <w:bCs/>
          <w:i/>
          <w:iCs/>
          <w:noProof/>
        </w:rPr>
        <w:t>in revision</w:t>
      </w:r>
      <w:r w:rsidRPr="0040503F">
        <w:rPr>
          <w:rFonts w:ascii="Times New Roman" w:hAnsi="Times New Roman" w:cs="Times New Roman"/>
          <w:bCs/>
          <w:noProof/>
        </w:rPr>
        <w:t>)</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1873C889"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w:t>
      </w:r>
      <w:proofErr w:type="spellStart"/>
      <w:r w:rsidR="00600687">
        <w:rPr>
          <w:rFonts w:ascii="Times New Roman" w:hAnsi="Times New Roman" w:cs="Times New Roman"/>
          <w:bCs/>
        </w:rPr>
        <w:t>Palmrya</w:t>
      </w:r>
      <w:proofErr w:type="spellEnd"/>
      <w:r w:rsidR="00600687">
        <w:rPr>
          <w:rFonts w:ascii="Times New Roman" w:hAnsi="Times New Roman" w:cs="Times New Roman"/>
          <w:bCs/>
        </w:rPr>
        <w:t xml:space="preserve"> Atoll (Handler et al. 2007,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sidRPr="002B7BAF">
        <w:rPr>
          <w:rFonts w:ascii="Times New Roman" w:hAnsi="Times New Roman" w:cs="Times New Roman"/>
          <w:b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sidRPr="002B7BAF">
        <w:rPr>
          <w:rFonts w:ascii="Times New Roman" w:hAnsi="Times New Roman" w:cs="Times New Roman"/>
          <w:b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w:t>
      </w:r>
      <w:r w:rsidR="00CA1461">
        <w:rPr>
          <w:rFonts w:ascii="Times New Roman" w:hAnsi="Times New Roman" w:cs="Times New Roman"/>
          <w:bCs/>
        </w:rPr>
        <w:lastRenderedPageBreak/>
        <w:t xml:space="preserve">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proofErr w:type="gramStart"/>
      <w:r w:rsidR="00D54F0A">
        <w:rPr>
          <w:rFonts w:ascii="Times New Roman" w:hAnsi="Times New Roman" w:cs="Times New Roman"/>
          <w:bCs/>
        </w:rPr>
        <w:t>e.g.</w:t>
      </w:r>
      <w:proofErr w:type="gramEnd"/>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Supplementary Table X</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AA2A5F6"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4CC5B6D1" w14:textId="58035D3F" w:rsidR="00C47AA3" w:rsidRDefault="00C47AA3" w:rsidP="003F3823">
      <w:pPr>
        <w:rPr>
          <w:rFonts w:ascii="Times New Roman" w:hAnsi="Times New Roman" w:cs="Times New Roman"/>
          <w:bCs/>
        </w:rPr>
      </w:pPr>
    </w:p>
    <w:p w14:paraId="13915865" w14:textId="56746ABB" w:rsidR="00795B74" w:rsidRDefault="00D00434" w:rsidP="00D00434">
      <w:pPr>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 DNA in predator diets</w:t>
      </w:r>
      <w:r>
        <w:rPr>
          <w:rFonts w:ascii="Times New Roman" w:hAnsi="Times New Roman" w:cs="Times New Roman"/>
          <w:bCs/>
        </w:rPr>
        <w:t xml:space="preserve">, we extracted and sequenced DNA from predator individuals using high throughput sequencing methods. We extracted DNA from samples of predator individuals using a modified CTAB protocol and following methods outlined in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2017)","manualFormatting":"(2017)","plainTextFormattedCitation":"(Krehenwinkel et al. 2017)","previouslyFormattedCitation":"(Krehenwinkel et al. 2017)"},"properties":{"noteIndex":0},"schema":"https://github.com/citation-style-language/schema/raw/master/csl-citation.json"}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(2017)</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biomonitoring","type":"article-journal","volume":"3"},"uris":["http://www.mendeley.com/documents/?uuid=bfe08dd7-141d-4ee4-98a8-e184e9fb9dae"]}],"mendeley":{"formattedCitation":"(Yu et al. 2012, Leray et al. 2013, Krehenwinkel et al. 2017)","manualFormatting":"Yu et al. 2012, Leray et al. 2013, Krehenwinkel et al. 2017)","plainTextFormattedCitation":"(Yu et al. 2012, Leray et al. 2013, Krehenwinkel et al. 2017)","previouslyFormattedCitation":"(Yu et al. 2012, Leray et al. 2013, Krehenwinkel et al. 2017)"},"properties":{"noteIndex":0},"schema":"https://github.com/citation-style-language/schema/raw/master/csl-citation.json"}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Yu et al. 2012, Leray et al. 2013, Krehenwinkel et al. 2017)</w:t>
      </w:r>
      <w:r w:rsidR="002F52C7">
        <w:rPr>
          <w:rFonts w:ascii="Times New Roman" w:hAnsi="Times New Roman" w:cs="Times New Roman"/>
          <w:bCs/>
        </w:rPr>
        <w:fldChar w:fldCharType="end"/>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MiSeq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 SI Figures 3 &amp; 4)","plainTextFormattedCitation":"(Callahan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183C01">
        <w:rPr>
          <w:rFonts w:ascii="Times New Roman" w:hAnsi="Times New Roman" w:cs="Times New Roman"/>
          <w:bCs/>
          <w:noProof/>
        </w:rPr>
        <w:t xml:space="preserve">, SI Figures </w:t>
      </w:r>
      <w:r w:rsidR="00CC208F">
        <w:rPr>
          <w:rFonts w:ascii="Times New Roman" w:hAnsi="Times New Roman" w:cs="Times New Roman"/>
          <w:bCs/>
          <w:noProof/>
        </w:rPr>
        <w:t>3 &amp; 4</w:t>
      </w:r>
      <w:r w:rsidR="00FF0150" w:rsidRPr="0040503F">
        <w:rPr>
          <w:rFonts w:ascii="Times New Roman" w:hAnsi="Times New Roman" w:cs="Times New Roman"/>
          <w:bCs/>
          <w:noProof/>
        </w:rPr>
        <w:t>)</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and Chao 2017)","plainTextFormattedCitation":"(Hsieh and Chao 2017)","previouslyFormattedCitation":"(Hsieh and Chao 2017)"},"properties":{"noteIndex":0},"schema":"https://github.com/citation-style-language/schema/raw/master/csl-citation.json"}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(Hsieh and Chao 2017)</w:t>
      </w:r>
      <w:r w:rsidR="002F52C7">
        <w:rPr>
          <w:rFonts w:ascii="Times New Roman" w:hAnsi="Times New Roman" w:cs="Times New Roman"/>
          <w:bCs/>
        </w:rPr>
        <w:fldChar w:fldCharType="end"/>
      </w:r>
      <w:r>
        <w:rPr>
          <w:rFonts w:ascii="Times New Roman" w:hAnsi="Times New Roman" w:cs="Times New Roman"/>
          <w:bCs/>
        </w:rPr>
        <w:t xml:space="preserve"> and </w:t>
      </w:r>
      <w:commentRangeStart w:id="3"/>
      <w:commentRangeStart w:id="4"/>
      <w:r>
        <w:rPr>
          <w:rFonts w:ascii="Times New Roman" w:hAnsi="Times New Roman" w:cs="Times New Roman"/>
          <w:bCs/>
        </w:rPr>
        <w:t xml:space="preserve">then rarefied all sequencing depths </w:t>
      </w:r>
      <w:commentRangeEnd w:id="3"/>
      <w:r w:rsidR="00F151EE">
        <w:rPr>
          <w:rStyle w:val="CommentReference"/>
        </w:rPr>
        <w:commentReference w:id="3"/>
      </w:r>
      <w:commentRangeEnd w:id="4"/>
      <w:r w:rsidR="00B40560">
        <w:rPr>
          <w:rStyle w:val="CommentReference"/>
        </w:rPr>
        <w:commentReference w:id="4"/>
      </w:r>
      <w:r>
        <w:rPr>
          <w:rFonts w:ascii="Times New Roman" w:hAnsi="Times New Roman" w:cs="Times New Roman"/>
          <w:bCs/>
        </w:rPr>
        <w:t>to the lowest sequencing depth of remaining samples (15, 954 reads). We performed these steps in R (version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272F2E">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et al. 2016)","manualFormatting":"Hsieh et al. 2016)","plainTextFormattedCitation":"(Hsieh et al. 2016)","previouslyFormattedCitation":"(Hsieh et al. 2016)"},"properties":{"noteIndex":0},"schema":"https://github.com/citation-style-language/schema/raw/master/csl-citation.json"}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Hsieh et al. 2016)</w:t>
      </w:r>
      <w:r w:rsidR="002F52C7">
        <w:rPr>
          <w:rFonts w:ascii="Times New Roman" w:hAnsi="Times New Roman" w:cs="Times New Roman"/>
          <w:bCs/>
        </w:rPr>
        <w:fldChar w:fldCharType="end"/>
      </w:r>
      <w:r>
        <w:rPr>
          <w:rFonts w:ascii="Times New Roman" w:hAnsi="Times New Roman" w:cs="Times New Roman"/>
          <w:bCs/>
        </w:rPr>
        <w:t xml:space="preserve"> and vegan (version 2.5.6) packages. </w:t>
      </w:r>
    </w:p>
    <w:p w14:paraId="36C6BE08" w14:textId="01750543" w:rsidR="002350AD" w:rsidRDefault="002350AD" w:rsidP="003F3823">
      <w:pPr>
        <w:rPr>
          <w:rFonts w:ascii="Times New Roman" w:hAnsi="Times New Roman" w:cs="Times New Roman"/>
        </w:rPr>
      </w:pPr>
    </w:p>
    <w:p w14:paraId="1795D386" w14:textId="44DD06AF" w:rsidR="002350AD" w:rsidRPr="002350AD" w:rsidRDefault="002350AD" w:rsidP="003F3823">
      <w:pPr>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5D4DF406" w:rsidR="0059261E" w:rsidRPr="00C66B85" w:rsidRDefault="002D7EE0" w:rsidP="003F3823">
      <w:pPr>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w:t>
      </w:r>
      <w:r w:rsidR="00272F2E">
        <w:rPr>
          <w:rFonts w:ascii="Times New Roman" w:hAnsi="Times New Roman" w:cs="Times New Roman"/>
          <w:bCs/>
        </w:rPr>
        <w:fldChar w:fldCharType="begin" w:fldLock="1"/>
      </w:r>
      <w:r w:rsidR="00786A57">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diet","type":"article-journal","volume":"28"},"uris":["http://www.mendeley.com/documents/?uuid=43f197be-1161-4ceb-8693-3904499f18de"]}],"mendeley":{"formattedCitation":"(Kartzinel et al. 2015, Brose et al. 2019, Eitzinger et al. 2019)","manualFormatting":"Kartzinel et al. 2015, Brose et al. 2019, Eitzinger et al. 2019)","plainTextFormattedCitation":"(Kartzinel et al. 2015, Brose et al. 2019, Eitzinger et al. 2019)","previouslyFormattedCitation":"(Kartzinel et al. 2015, Brose et al. 2019, Eitzinger et al. 2019)"},"properties":{"noteIndex":0},"schema":"https://github.com/citation-style-language/schema/raw/master/csl-citation.json"}</w:instrText>
      </w:r>
      <w:r w:rsidR="00272F2E">
        <w:rPr>
          <w:rFonts w:ascii="Times New Roman" w:hAnsi="Times New Roman" w:cs="Times New Roman"/>
          <w:bCs/>
        </w:rPr>
        <w:fldChar w:fldCharType="separate"/>
      </w:r>
      <w:r w:rsidR="00272F2E" w:rsidRPr="00272F2E">
        <w:rPr>
          <w:rFonts w:ascii="Times New Roman" w:hAnsi="Times New Roman" w:cs="Times New Roman"/>
          <w:bCs/>
          <w:noProof/>
        </w:rPr>
        <w:t>Kartzinel et al. 2015, Brose et al. 2019, Eitzinger et al. 2019)</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commentRangeStart w:id="5"/>
      <w:commentRangeStart w:id="6"/>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786A57">
        <w:rPr>
          <w:rFonts w:ascii="Times New Roman" w:hAnsi="Times New Roman" w:cs="Times New Roman"/>
          <w:bCs/>
        </w:rPr>
        <w:t xml:space="preserve"> </w:t>
      </w:r>
      <w:r w:rsidR="00786A57">
        <w:rPr>
          <w:rFonts w:ascii="Times New Roman" w:hAnsi="Times New Roman" w:cs="Times New Roman"/>
          <w:bCs/>
        </w:rPr>
        <w:fldChar w:fldCharType="begin" w:fldLock="1"/>
      </w:r>
      <w:r w:rsidR="00BC4812">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et al. 2020)","plainTextFormattedCitation":"(van der Valk et al. 2020)","previouslyFormattedCitation":"(van der Valk et al. 2020)"},"properties":{"noteIndex":0},"schema":"https://github.com/citation-style-language/schema/raw/master/csl-citation.json"}</w:instrText>
      </w:r>
      <w:r w:rsidR="00786A57">
        <w:rPr>
          <w:rFonts w:ascii="Times New Roman" w:hAnsi="Times New Roman" w:cs="Times New Roman"/>
          <w:bCs/>
        </w:rPr>
        <w:fldChar w:fldCharType="separate"/>
      </w:r>
      <w:r w:rsidR="00786A57" w:rsidRPr="00786A57">
        <w:rPr>
          <w:rFonts w:ascii="Times New Roman" w:hAnsi="Times New Roman" w:cs="Times New Roman"/>
          <w:bCs/>
          <w:noProof/>
        </w:rPr>
        <w:t>(van der Valk et al. 2020)</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commentRangeEnd w:id="5"/>
      <w:r w:rsidR="00F151EE">
        <w:rPr>
          <w:rStyle w:val="CommentReference"/>
        </w:rPr>
        <w:commentReference w:id="5"/>
      </w:r>
      <w:commentRangeEnd w:id="6"/>
      <w:r w:rsidR="00B40560">
        <w:rPr>
          <w:rStyle w:val="CommentReference"/>
        </w:rPr>
        <w:commentReference w:id="6"/>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5C570E64" w:rsidR="00624885" w:rsidRDefault="00D00434" w:rsidP="003F3823">
      <w:pPr>
        <w:rPr>
          <w:rFonts w:ascii="Times New Roman" w:hAnsi="Times New Roman" w:cs="Times New Roman"/>
        </w:rPr>
      </w:pPr>
      <w:r>
        <w:rPr>
          <w:rFonts w:ascii="Times New Roman" w:hAnsi="Times New Roman" w:cs="Times New Roman"/>
        </w:rPr>
        <w:t xml:space="preserve">We measured the length of each predator individual 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BC4812">
        <w:rPr>
          <w:rFonts w:ascii="Times New Roman" w:hAnsi="Times New Roman" w:cs="Times New Roman"/>
        </w:rPr>
        <w:t xml:space="preserve"> </w:t>
      </w:r>
      <w:r w:rsidR="00BC4812">
        <w:rPr>
          <w:rFonts w:ascii="Times New Roman" w:hAnsi="Times New Roman" w:cs="Times New Roman"/>
        </w:rPr>
        <w:fldChar w:fldCharType="begin" w:fldLock="1"/>
      </w:r>
      <w:r w:rsidR="00BC4812">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BC4812">
        <w:rPr>
          <w:rFonts w:ascii="Cambria Math" w:hAnsi="Cambria Math" w:cs="Cambria Math"/>
        </w:rPr>
        <w:instrText>∼</w:instrText>
      </w:r>
      <w:r w:rsidR="00BC4812">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accumulation","type":"article-journal","volume":"17"},"uris":["http://www.mendeley.com/documents/?uuid=87cdc4db-9437-4dd7-bb10-48b31c8b2099"]}],"mendeley":{"formattedCitation":"(Yaninek and Gnanvossou 1993, Sohlström et al. 2018, Su et al. 2020)","manualFormatting":"(Yaninek and Gnanvossou 1993, Sohlström et al. 2018, Su et al. 2020, Miller-ter Kuile unpublished data, McLaughlin et al. unpublished data)","plainTextFormattedCitation":"(Yaninek and Gnanvossou 1993, Sohlström et al. 2018, Su et al. 2020)","previouslyFormattedCitation":"(Yaninek and Gnanvossou 1993, Sohlström et al. 2018, Su et al.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(Yaninek and Gnanvossou 1993, Sohlström et al. 2018, Su et al. 2020</w:t>
      </w:r>
      <w:r w:rsidR="00BC4812">
        <w:rPr>
          <w:rFonts w:ascii="Times New Roman" w:hAnsi="Times New Roman" w:cs="Times New Roman"/>
          <w:noProof/>
        </w:rPr>
        <w:t xml:space="preserve">, Miller-ter Kuile </w:t>
      </w:r>
      <w:r w:rsidR="00BC4812">
        <w:rPr>
          <w:rFonts w:ascii="Times New Roman" w:hAnsi="Times New Roman" w:cs="Times New Roman"/>
          <w:i/>
          <w:iCs/>
          <w:noProof/>
        </w:rPr>
        <w:t>unpublished data</w:t>
      </w:r>
      <w:r w:rsidR="00BC4812">
        <w:rPr>
          <w:rFonts w:ascii="Times New Roman" w:hAnsi="Times New Roman" w:cs="Times New Roman"/>
          <w:noProof/>
        </w:rPr>
        <w:t xml:space="preserve">, McLaughlin et al. </w:t>
      </w:r>
      <w:r w:rsidR="00BC4812">
        <w:rPr>
          <w:rFonts w:ascii="Times New Roman" w:hAnsi="Times New Roman" w:cs="Times New Roman"/>
          <w:i/>
          <w:iCs/>
          <w:noProof/>
        </w:rPr>
        <w:t>unpublished data</w:t>
      </w:r>
      <w:r w:rsidR="00BC4812" w:rsidRPr="00BC4812">
        <w:rPr>
          <w:rFonts w:ascii="Times New Roman" w:hAnsi="Times New Roman" w:cs="Times New Roman"/>
          <w:noProof/>
        </w:rPr>
        <w:t>)</w:t>
      </w:r>
      <w:r w:rsidR="00BC4812">
        <w:rPr>
          <w:rFonts w:ascii="Times New Roman" w:hAnsi="Times New Roman" w:cs="Times New Roman"/>
        </w:rPr>
        <w:fldChar w:fldCharType="end"/>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 xml:space="preserve">SI Figure </w:t>
      </w:r>
      <w:r w:rsidR="002B7BAF">
        <w:rPr>
          <w:rFonts w:ascii="Times New Roman" w:hAnsi="Times New Roman" w:cs="Times New Roman"/>
        </w:rPr>
        <w:t>9</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3D5F20E9"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w:t>
      </w:r>
      <w:r w:rsidR="00F1286E">
        <w:rPr>
          <w:rFonts w:ascii="Times New Roman" w:hAnsi="Times New Roman" w:cs="Times New Roman"/>
        </w:rPr>
        <w:lastRenderedPageBreak/>
        <w:t xml:space="preserve">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was an active versus non-active (</w:t>
      </w:r>
      <w:proofErr w:type="gramStart"/>
      <w:r w:rsidR="00FE0C10">
        <w:rPr>
          <w:rFonts w:ascii="Times New Roman" w:hAnsi="Times New Roman" w:cs="Times New Roman"/>
        </w:rPr>
        <w:t>e.g.</w:t>
      </w:r>
      <w:proofErr w:type="gramEnd"/>
      <w:r w:rsidR="00FE0C10">
        <w:rPr>
          <w:rFonts w:ascii="Times New Roman" w:hAnsi="Times New Roman" w:cs="Times New Roman"/>
        </w:rPr>
        <w:t xml:space="preserve"> sit-and-wait) hunter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function","type":"article-journal","volume":"319"},"uris":["http://www.mendeley.com/documents/?uuid=73052aeb-11a1-4150-9585-e9589cd98b1b"]}],"mendeley":{"formattedCitation":"(Schmitz 2008)","manualFormatting":"(e.g. Schmitz 2008)","plainTextFormattedCitation":"(Schmitz 2008)","previouslyFormattedCitation":"(Schmitz 2008)"},"properties":{"noteIndex":0},"schema":"https://github.com/citation-style-language/schema/raw/master/csl-citation.json"}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w:t>
      </w:r>
      <w:r w:rsidR="00BC4812">
        <w:rPr>
          <w:rFonts w:ascii="Times New Roman" w:hAnsi="Times New Roman" w:cs="Times New Roman"/>
          <w:noProof/>
        </w:rPr>
        <w:t xml:space="preserve">e.g. </w:t>
      </w:r>
      <w:r w:rsidR="00BC4812" w:rsidRPr="00BC4812">
        <w:rPr>
          <w:rFonts w:ascii="Times New Roman" w:hAnsi="Times New Roman" w:cs="Times New Roman"/>
          <w:noProof/>
        </w:rPr>
        <w:t>Schmitz 2008)</w:t>
      </w:r>
      <w:r w:rsidR="00BC4812">
        <w:rPr>
          <w:rFonts w:ascii="Times New Roman" w:hAnsi="Times New Roman" w:cs="Times New Roman"/>
        </w:rPr>
        <w:fldChar w:fldCharType="end"/>
      </w:r>
      <w:r w:rsidR="00BC4812">
        <w:rPr>
          <w:rFonts w:ascii="Times New Roman" w:hAnsi="Times New Roman" w:cs="Times New Roman"/>
        </w:rPr>
        <w:t>,</w:t>
      </w:r>
      <w:r w:rsidR="00FE0C10">
        <w:rPr>
          <w:rFonts w:ascii="Times New Roman" w:hAnsi="Times New Roman" w:cs="Times New Roman"/>
        </w:rPr>
        <w:t xml:space="preserve"> </w:t>
      </w:r>
      <w:r w:rsidR="00D9232A">
        <w:rPr>
          <w:rFonts w:ascii="Times New Roman" w:hAnsi="Times New Roman" w:cs="Times New Roman"/>
        </w:rPr>
        <w:t>uses webs to either capture or subdue 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hunting). In each of these models, predator individual and predator species identity were random effects. We took this approach to avoid 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371287D0"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2020)","manualFormatting":"Barton 2020)","plainTextFormattedCitation":"(Barton 2020)","previouslyFormattedCitation":"(Barton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Barton 2020)</w:t>
      </w:r>
      <w:r w:rsidR="00BC4812">
        <w:rPr>
          <w:rFonts w:ascii="Times New Roman" w:hAnsi="Times New Roman" w:cs="Times New Roman"/>
        </w:rPr>
        <w:fldChar w:fldCharType="end"/>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three predator trait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2020)","manualFormatting":"Hartig 2020)","plainTextFormattedCitation":"(Hartig 2020)","previouslyFormattedCitation":"(Hartig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Hartig 2020)</w:t>
      </w:r>
      <w:r w:rsidR="00BC4812">
        <w:rPr>
          <w:rFonts w:ascii="Times New Roman" w:hAnsi="Times New Roman" w:cs="Times New Roman"/>
        </w:rPr>
        <w:fldChar w:fldCharType="end"/>
      </w:r>
      <w:r w:rsidR="00BC4812">
        <w:rPr>
          <w:rFonts w:ascii="Times New Roman" w:hAnsi="Times New Roman" w:cs="Times New Roman"/>
        </w:rPr>
        <w:t>.</w:t>
      </w:r>
      <w:r w:rsidR="00F1286E">
        <w:rPr>
          <w:rFonts w:ascii="Times New Roman" w:hAnsi="Times New Roman" w:cs="Times New Roman"/>
        </w:rPr>
        <w:t xml:space="preserve"> </w:t>
      </w:r>
      <w:r w:rsidR="0049241C">
        <w:rPr>
          <w:rFonts w:ascii="Times New Roman" w:hAnsi="Times New Roman" w:cs="Times New Roman"/>
        </w:rPr>
        <w:t xml:space="preserve">For the CCA analysis, we </w:t>
      </w:r>
      <w:r w:rsidR="000121A2">
        <w:rPr>
          <w:rFonts w:ascii="Times New Roman" w:hAnsi="Times New Roman" w:cs="Times New Roman"/>
        </w:rPr>
        <w:t xml:space="preserve">extracted the marginal significance of each predictor in the full model, refit the model </w:t>
      </w:r>
      <w:r w:rsidR="002B75ED">
        <w:rPr>
          <w:rFonts w:ascii="Times New Roman" w:hAnsi="Times New Roman" w:cs="Times New Roman"/>
        </w:rPr>
        <w:t>removing</w:t>
      </w:r>
      <w:r w:rsidR="000121A2">
        <w:rPr>
          <w:rFonts w:ascii="Times New Roman" w:hAnsi="Times New Roman" w:cs="Times New Roman"/>
        </w:rPr>
        <w:t xml:space="preserve"> the least significant (at p-value &gt; 0.05) variables and chose the best fitting model comparing both </w:t>
      </w:r>
      <w:r w:rsidR="004D0A9F">
        <w:rPr>
          <w:rFonts w:ascii="Times New Roman" w:hAnsi="Times New Roman" w:cs="Times New Roman"/>
        </w:rPr>
        <w:t xml:space="preserve">the full and reduced </w:t>
      </w:r>
      <w:r w:rsidR="000121A2">
        <w:rPr>
          <w:rFonts w:ascii="Times New Roman" w:hAnsi="Times New Roman" w:cs="Times New Roman"/>
        </w:rPr>
        <w:t xml:space="preserve">models with the </w:t>
      </w:r>
      <w:proofErr w:type="spellStart"/>
      <w:proofErr w:type="gramStart"/>
      <w:r w:rsidR="000121A2">
        <w:rPr>
          <w:rFonts w:ascii="Times New Roman" w:hAnsi="Times New Roman" w:cs="Times New Roman"/>
        </w:rPr>
        <w:t>anova</w:t>
      </w:r>
      <w:proofErr w:type="spellEnd"/>
      <w:r w:rsidR="000121A2">
        <w:rPr>
          <w:rFonts w:ascii="Times New Roman" w:hAnsi="Times New Roman" w:cs="Times New Roman"/>
        </w:rPr>
        <w:t>(</w:t>
      </w:r>
      <w:proofErr w:type="gramEnd"/>
      <w:r w:rsidR="000121A2">
        <w:rPr>
          <w:rFonts w:ascii="Times New Roman" w:hAnsi="Times New Roman" w:cs="Times New Roman"/>
        </w:rPr>
        <w:t>) function in R. 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et al. 2020)","manualFormatting":"Bui et al. 2020)","plainTextFormattedCitation":"(Bui et al. 2020)","previouslyFormattedCitation":"(Bui et al.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Bui et al. 2020)</w:t>
      </w:r>
      <w:r w:rsidR="00BC4812">
        <w:rPr>
          <w:rFonts w:ascii="Times New Roman" w:hAnsi="Times New Roman" w:cs="Times New Roman"/>
        </w:rPr>
        <w:fldChar w:fldCharType="end"/>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63A7791D"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individuals of nine species. Each predator had consumed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 75 prey families; </w:t>
      </w:r>
      <w:r w:rsidR="00183C01">
        <w:rPr>
          <w:rFonts w:ascii="Times New Roman" w:hAnsi="Times New Roman" w:cs="Times New Roman"/>
          <w:bCs/>
        </w:rPr>
        <w:t xml:space="preserve">SI Table </w:t>
      </w:r>
      <w:r w:rsidR="001C1C59">
        <w:rPr>
          <w:rFonts w:ascii="Times New Roman" w:hAnsi="Times New Roman" w:cs="Times New Roman"/>
          <w:bCs/>
        </w:rPr>
        <w:t>3</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CC208F">
        <w:rPr>
          <w:rFonts w:ascii="Times New Roman" w:hAnsi="Times New Roman" w:cs="Times New Roman"/>
          <w:bCs/>
        </w:rPr>
        <w:t>8 &amp; 9</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52D412D0" w:rsidR="00791E9A" w:rsidRDefault="007C0C14" w:rsidP="002B75ED">
      <w:pPr>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34</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1C1C59">
        <w:rPr>
          <w:rFonts w:ascii="Times New Roman" w:hAnsi="Times New Roman" w:cs="Times New Roman"/>
        </w:rPr>
        <w:t>4</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 xml:space="preserve">the predator trait model that most explained variation in predator-prey size ratio was the model that included web-use as a predictor (p-value = 0.05, β = 1.25, Figure </w:t>
      </w:r>
      <w:r w:rsidR="00195C03">
        <w:rPr>
          <w:rFonts w:ascii="Times New Roman" w:hAnsi="Times New Roman" w:cs="Times New Roman"/>
        </w:rPr>
        <w:t>3</w:t>
      </w:r>
      <w:r w:rsidR="006B2220">
        <w:rPr>
          <w:rFonts w:ascii="Times New Roman" w:hAnsi="Times New Roman" w:cs="Times New Roman"/>
        </w:rPr>
        <w:t xml:space="preserve">, SI Table 7).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had significantly</w:t>
      </w:r>
      <w:r w:rsidR="0027142C">
        <w:rPr>
          <w:rFonts w:ascii="Times New Roman" w:hAnsi="Times New Roman" w:cs="Times New Roman"/>
        </w:rPr>
        <w:t xml:space="preserve"> smaller </w:t>
      </w:r>
      <w:proofErr w:type="spellStart"/>
      <w:proofErr w:type="gramStart"/>
      <w:r w:rsidR="0027142C">
        <w:rPr>
          <w:rFonts w:ascii="Times New Roman" w:hAnsi="Times New Roman" w:cs="Times New Roman"/>
        </w:rPr>
        <w:t>predator:prey</w:t>
      </w:r>
      <w:proofErr w:type="spellEnd"/>
      <w:proofErr w:type="gramEnd"/>
      <w:r w:rsidR="0027142C">
        <w:rPr>
          <w:rFonts w:ascii="Times New Roman" w:hAnsi="Times New Roman" w:cs="Times New Roman"/>
        </w:rPr>
        <w:t xml:space="preserve"> size ratios</w:t>
      </w:r>
      <w:r w:rsidR="00ED3441">
        <w:rPr>
          <w:rFonts w:ascii="Times New Roman" w:hAnsi="Times New Roman" w:cs="Times New Roman"/>
        </w:rPr>
        <w:t xml:space="preserv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t xml:space="preserve">ratios of predator </w:t>
      </w:r>
      <w:r w:rsidR="00945450">
        <w:rPr>
          <w:rFonts w:ascii="Times New Roman" w:hAnsi="Times New Roman" w:cs="Times New Roman"/>
        </w:rPr>
        <w:lastRenderedPageBreak/>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w:t>
      </w:r>
      <w:proofErr w:type="spellStart"/>
      <w:r w:rsidR="00740B2C">
        <w:rPr>
          <w:rFonts w:ascii="Times New Roman" w:hAnsi="Times New Roman" w:cs="Times New Roman"/>
        </w:rPr>
        <w:t>non web</w:t>
      </w:r>
      <w:proofErr w:type="spellEnd"/>
      <w:r w:rsidR="00740B2C">
        <w:rPr>
          <w:rFonts w:ascii="Times New Roman" w:hAnsi="Times New Roman" w:cs="Times New Roman"/>
        </w:rPr>
        <w:t xml:space="preserve">-builders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45A5893E"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proofErr w:type="gramStart"/>
      <w:r w:rsidR="00B111EE">
        <w:rPr>
          <w:rFonts w:ascii="Times New Roman" w:hAnsi="Times New Roman" w:cs="Times New Roman"/>
        </w:rPr>
        <w:t>e.g.</w:t>
      </w:r>
      <w:proofErr w:type="gramEnd"/>
      <w:r w:rsidR="00B111EE">
        <w:rPr>
          <w:rFonts w:ascii="Times New Roman" w:hAnsi="Times New Roman" w:cs="Times New Roman"/>
        </w:rPr>
        <w:t xml:space="preserve">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Web","type":"book","volume":"42"},"uris":["http://www.mendeley.com/documents/?uuid=8ab34f96-4f34-4e55-bc8f-c3a5b3d1b737"]}],"mendeley":{"formattedCitation":"(Polis 1991, McLaughlin et al. 2010)","manualFormatting":"Polis 1991, McLaughlin et al. 2010)","plainTextFormattedCitation":"(Polis 1991, McLaughlin et al. 2010)","previouslyFormattedCitation":"(Polis 1991, McLaughlin et al. 2010)"},"properties":{"noteIndex":0},"schema":"https://github.com/citation-style-language/schema/raw/master/csl-citation.json"}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Polis 1991, McLaughlin et al. 2010)</w:t>
      </w:r>
      <w:r w:rsidR="00BC4812">
        <w:rPr>
          <w:rFonts w:ascii="Times New Roman" w:hAnsi="Times New Roman" w:cs="Times New Roman"/>
        </w:rPr>
        <w:fldChar w:fldCharType="end"/>
      </w:r>
      <w:r w:rsidR="00BC4812">
        <w:rPr>
          <w:rFonts w:ascii="Times New Roman" w:hAnsi="Times New Roman" w:cs="Times New Roman"/>
        </w:rPr>
        <w:t xml:space="preserve">, </w:t>
      </w:r>
      <w:r w:rsidR="002F62A7">
        <w:rPr>
          <w:rFonts w:ascii="Times New Roman" w:hAnsi="Times New Roman" w:cs="Times New Roman"/>
        </w:rPr>
        <w:t xml:space="preserve">so </w:t>
      </w:r>
      <w:r w:rsidR="005467F9">
        <w:rPr>
          <w:rFonts w:ascii="Times New Roman" w:hAnsi="Times New Roman" w:cs="Times New Roman"/>
        </w:rPr>
        <w:t>our</w:t>
      </w:r>
      <w:r w:rsidR="002F62A7">
        <w:rPr>
          <w:rFonts w:ascii="Times New Roman" w:hAnsi="Times New Roman" w:cs="Times New Roman"/>
        </w:rPr>
        <w:t xml:space="preserv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xml:space="preserve">, and </w:t>
      </w:r>
      <w:r w:rsidR="00241D90">
        <w:rPr>
          <w:rFonts w:ascii="Times New Roman" w:hAnsi="Times New Roman" w:cs="Times New Roman"/>
        </w:rPr>
        <w:t>huntin</w:t>
      </w:r>
      <w:r w:rsidR="00C959E3">
        <w:rPr>
          <w:rFonts w:ascii="Times New Roman" w:hAnsi="Times New Roman" w:cs="Times New Roman"/>
        </w:rPr>
        <w:t>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Specifically, 1) 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5467F9">
        <w:rPr>
          <w:rFonts w:ascii="Times New Roman" w:hAnsi="Times New Roman" w:cs="Times New Roman"/>
        </w:rPr>
        <w:t>. Then, 2</w:t>
      </w:r>
      <w:r w:rsidR="00C959E3">
        <w:rPr>
          <w:rFonts w:ascii="Times New Roman" w:hAnsi="Times New Roman" w:cs="Times New Roman"/>
        </w:rPr>
        <w:t xml:space="preserve">)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(e.g. approach in</w:t>
      </w:r>
      <w:r w:rsidR="00BC4812">
        <w:rPr>
          <w:rFonts w:ascii="Times New Roman" w:hAnsi="Times New Roman" w:cs="Times New Roman"/>
        </w:rPr>
        <w:t xml:space="preserve"> </w:t>
      </w:r>
      <w:r w:rsidR="00BC4812">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webs","type":"article-journal","volume":"10"},"uris":["http://www.mendeley.com/documents/?uuid=df3e6719-a9b8-4410-add1-db4cd678eff9"]}],"mendeley":{"formattedCitation":"(Pomeranz et al. 2019)","manualFormatting":"Pomeranz et al. 2019)","plainTextFormattedCitation":"(Pomeranz et al. 2019)","previouslyFormattedCitation":"(Pomeranz et al. 2019)"},"properties":{"noteIndex":0},"schema":"https://github.com/citation-style-language/schema/raw/master/csl-citation.json"}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Pomeranz et al. 2019)</w:t>
      </w:r>
      <w:r w:rsidR="00BC4812">
        <w:rPr>
          <w:rFonts w:ascii="Times New Roman" w:hAnsi="Times New Roman" w:cs="Times New Roman"/>
        </w:rPr>
        <w:fldChar w:fldCharType="end"/>
      </w:r>
      <w:r w:rsidR="00BC4812">
        <w:rPr>
          <w:rFonts w:ascii="Times New Roman" w:hAnsi="Times New Roman" w:cs="Times New Roman"/>
        </w:rPr>
        <w:t>.</w:t>
      </w:r>
    </w:p>
    <w:p w14:paraId="3757489D" w14:textId="1D48C234" w:rsidR="003F7A55" w:rsidRDefault="003F7A55" w:rsidP="003F3823">
      <w:pPr>
        <w:rPr>
          <w:rFonts w:ascii="Times New Roman" w:hAnsi="Times New Roman" w:cs="Times New Roman"/>
        </w:rPr>
      </w:pPr>
    </w:p>
    <w:p w14:paraId="0A71C3ED" w14:textId="623CB7F2" w:rsidR="00BB56FC" w:rsidRDefault="007B5BB4" w:rsidP="003507EC">
      <w:pPr>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sidR="003507EC">
        <w:rPr>
          <w:rFonts w:ascii="Times New Roman" w:hAnsi="Times New Roman" w:cs="Times New Roman"/>
        </w:rPr>
        <w:t xml:space="preserve"> </w:t>
      </w:r>
      <w:r w:rsidR="005963C3">
        <w:rPr>
          <w:rFonts w:ascii="Times New Roman" w:hAnsi="Times New Roman" w:cs="Times New Roman"/>
        </w:rPr>
        <w:t xml:space="preserve">or </w:t>
      </w:r>
      <w:r w:rsidR="00241D90">
        <w:rPr>
          <w:rFonts w:ascii="Times New Roman" w:hAnsi="Times New Roman" w:cs="Times New Roman"/>
        </w:rPr>
        <w:t>hunting</w:t>
      </w:r>
      <w:r w:rsidR="005963C3">
        <w:rPr>
          <w:rFonts w:ascii="Times New Roman" w:hAnsi="Times New Roman" w:cs="Times New Roman"/>
        </w:rPr>
        <w:t xml:space="preserve"> traits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binomial","type":"article-journal"},"uris":["http://www.mendeley.com/documents/?uuid=451661b4-48ee-4a55-9329-b83303e91484"]}],"mendeley":{"formattedCitation":"(Raffaelli 2007, Rall et al. 2011, Rudolf et al. 2014)","plainTextFormattedCitation":"(Raffaelli 2007, Rall et al. 2011, Rudolf et al. 2014)","previouslyFormattedCitation":"(Raffaelli 2007, Rall et al. 2011, Rudolf et al. 2014)"},"properties":{"noteIndex":0},"schema":"https://github.com/citation-style-language/schema/raw/master/csl-citation.json"}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(Raffaelli 2007, Rall et al. 2011, Rudolf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 </w:t>
      </w:r>
      <w:r w:rsidR="004239D4">
        <w:rPr>
          <w:rFonts w:ascii="Times New Roman" w:hAnsi="Times New Roman" w:cs="Times New Roman"/>
        </w:rPr>
        <w:t xml:space="preserve">individuals of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Pr>
          <w:rFonts w:ascii="Times New Roman" w:hAnsi="Times New Roman" w:cs="Times New Roman"/>
        </w:rPr>
        <w:t xml:space="preserve"> (</w:t>
      </w:r>
      <w:r w:rsidR="007E4195">
        <w:rPr>
          <w:rFonts w:ascii="Times New Roman" w:hAnsi="Times New Roman" w:cs="Times New Roman"/>
        </w:rPr>
        <w:t xml:space="preserve">“gape-limited”,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 </w:t>
      </w:r>
      <w:proofErr w:type="spellStart"/>
      <w:r>
        <w:rPr>
          <w:rFonts w:ascii="Times New Roman" w:hAnsi="Times New Roman" w:cs="Times New Roman"/>
          <w:i/>
          <w:iCs/>
        </w:rPr>
        <w:t>Geophilomorpha</w:t>
      </w:r>
      <w:proofErr w:type="spellEnd"/>
      <w:r>
        <w:rPr>
          <w:rFonts w:ascii="Times New Roman" w:hAnsi="Times New Roman" w:cs="Times New Roman"/>
          <w:i/>
          <w:iCs/>
        </w:rPr>
        <w:t xml:space="preserve"> </w:t>
      </w:r>
      <w:r>
        <w:rPr>
          <w:rFonts w:ascii="Times New Roman" w:hAnsi="Times New Roman" w:cs="Times New Roman"/>
        </w:rPr>
        <w:t xml:space="preserve">sp.) </w:t>
      </w:r>
      <w:r w:rsidR="006058A6">
        <w:rPr>
          <w:rFonts w:ascii="Times New Roman" w:hAnsi="Times New Roman" w:cs="Times New Roman"/>
        </w:rPr>
        <w:t>have smaller prey items on average compared to predator</w:t>
      </w:r>
      <w:r w:rsidR="004239D4">
        <w:rPr>
          <w:rFonts w:ascii="Times New Roman" w:hAnsi="Times New Roman" w:cs="Times New Roman"/>
        </w:rPr>
        <w:t xml:space="preserve"> individuals </w:t>
      </w:r>
      <w:r w:rsidR="006058A6">
        <w:rPr>
          <w:rFonts w:ascii="Times New Roman" w:hAnsi="Times New Roman" w:cs="Times New Roman"/>
        </w:rPr>
        <w:t>of similar, or even, smaller size of other species</w:t>
      </w:r>
      <w:r w:rsidR="003507EC">
        <w:rPr>
          <w:rFonts w:ascii="Times New Roman" w:hAnsi="Times New Roman" w:cs="Times New Roman"/>
        </w:rPr>
        <w:t xml:space="preserve"> that </w:t>
      </w:r>
      <w:r w:rsidR="001C6B21">
        <w:rPr>
          <w:rFonts w:ascii="Times New Roman" w:hAnsi="Times New Roman" w:cs="Times New Roman"/>
        </w:rPr>
        <w:t>instead use</w:t>
      </w:r>
      <w:r w:rsidR="003507EC">
        <w:rPr>
          <w:rFonts w:ascii="Times New Roman" w:hAnsi="Times New Roman" w:cs="Times New Roman"/>
        </w:rPr>
        <w:t xml:space="preserve"> “tools” such as webs (e.g. </w:t>
      </w:r>
      <w:proofErr w:type="spellStart"/>
      <w:r w:rsidR="003507EC">
        <w:rPr>
          <w:rFonts w:ascii="Times New Roman" w:hAnsi="Times New Roman" w:cs="Times New Roman"/>
        </w:rPr>
        <w:t>Oonopidae</w:t>
      </w:r>
      <w:proofErr w:type="spellEnd"/>
      <w:r w:rsidR="003507EC">
        <w:rPr>
          <w:rFonts w:ascii="Times New Roman" w:hAnsi="Times New Roman" w:cs="Times New Roman"/>
        </w:rPr>
        <w:t xml:space="preserve"> </w:t>
      </w:r>
      <w:proofErr w:type="spellStart"/>
      <w:r w:rsidR="003507EC">
        <w:rPr>
          <w:rFonts w:ascii="Times New Roman" w:hAnsi="Times New Roman" w:cs="Times New Roman"/>
        </w:rPr>
        <w:t>sp</w:t>
      </w:r>
      <w:proofErr w:type="spellEnd"/>
      <w:r w:rsidR="003507EC">
        <w:rPr>
          <w:rFonts w:ascii="Times New Roman" w:hAnsi="Times New Roman" w:cs="Times New Roman"/>
        </w:rPr>
        <w:t>)</w:t>
      </w:r>
      <w:r w:rsidR="006058A6">
        <w:rPr>
          <w:rFonts w:ascii="Times New Roman" w:hAnsi="Times New Roman" w:cs="Times New Roman"/>
        </w:rPr>
        <w:t xml:space="preserve">. </w:t>
      </w:r>
      <w:r w:rsidR="004239D4">
        <w:rPr>
          <w:rFonts w:ascii="Times New Roman" w:hAnsi="Times New Roman" w:cs="Times New Roman"/>
        </w:rPr>
        <w:t xml:space="preserve">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w:t>
      </w:r>
      <w:r w:rsidR="00241D90">
        <w:rPr>
          <w:rFonts w:ascii="Times New Roman" w:hAnsi="Times New Roman" w:cs="Times New Roman"/>
        </w:rPr>
        <w:t xml:space="preserve">While these traits (body size and gape limitation) may vary across individuals within a species over its lifespan,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241D90">
        <w:rPr>
          <w:rFonts w:ascii="Times New Roman" w:hAnsi="Times New Roman" w:cs="Times New Roman"/>
        </w:rPr>
        <w:t xml:space="preserve">, specifically, web use, </w:t>
      </w:r>
      <w:r w:rsidR="007E4195">
        <w:rPr>
          <w:rFonts w:ascii="Times New Roman" w:hAnsi="Times New Roman" w:cs="Times New Roman"/>
        </w:rPr>
        <w:t>are</w:t>
      </w:r>
      <w:r w:rsidR="001D047C">
        <w:rPr>
          <w:rFonts w:ascii="Times New Roman" w:hAnsi="Times New Roman" w:cs="Times New Roman"/>
        </w:rPr>
        <w:t xml:space="preserve"> </w:t>
      </w:r>
      <w:r w:rsidR="00241D90">
        <w:rPr>
          <w:rFonts w:ascii="Times New Roman" w:hAnsi="Times New Roman" w:cs="Times New Roman"/>
        </w:rPr>
        <w:t xml:space="preserve">conserved across life stages and phylogenetically similar species, lending credence to phylogenetic approaches to inferring feeding interactions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interactions","type":"article-journal","volume":"5"},"uris":["http://www.mendeley.com/documents/?uuid=a360129c-bc30-471d-8c25-c40d37508c80"]}],"mendeley":{"formattedCitation":"(Gray et al. 2015)","manualFormatting":"(e.g. Gray et al. 2015)","plainTextFormattedCitation":"(Gray et al. 2015)","previouslyFormattedCitation":"(Gray et al. 2015)"},"properties":{"noteIndex":0},"schema":"https://github.com/citation-style-language/schema/raw/master/csl-citation.json"}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w:t>
      </w:r>
      <w:r w:rsidR="00443203">
        <w:rPr>
          <w:rFonts w:ascii="Times New Roman" w:hAnsi="Times New Roman" w:cs="Times New Roman"/>
          <w:noProof/>
        </w:rPr>
        <w:t xml:space="preserve">e.g. </w:t>
      </w:r>
      <w:r w:rsidR="00443203" w:rsidRPr="00443203">
        <w:rPr>
          <w:rFonts w:ascii="Times New Roman" w:hAnsi="Times New Roman" w:cs="Times New Roman"/>
          <w:noProof/>
        </w:rPr>
        <w:t>Gray et al. 2015)</w:t>
      </w:r>
      <w:r w:rsidR="00443203">
        <w:rPr>
          <w:rFonts w:ascii="Times New Roman" w:hAnsi="Times New Roman" w:cs="Times New Roman"/>
        </w:rPr>
        <w:fldChar w:fldCharType="end"/>
      </w:r>
      <w:r w:rsidR="00443203">
        <w:rPr>
          <w:rFonts w:ascii="Times New Roman" w:hAnsi="Times New Roman" w:cs="Times New Roman"/>
        </w:rPr>
        <w:t>.</w:t>
      </w:r>
    </w:p>
    <w:p w14:paraId="508475CC" w14:textId="0CA07E0F" w:rsidR="00BB56FC" w:rsidRDefault="00BB56FC" w:rsidP="003507EC">
      <w:pPr>
        <w:rPr>
          <w:rFonts w:ascii="Times New Roman" w:hAnsi="Times New Roman" w:cs="Times New Roman"/>
        </w:rPr>
      </w:pPr>
    </w:p>
    <w:p w14:paraId="69B34282" w14:textId="5035E62D" w:rsidR="00F63A83" w:rsidRDefault="00BB56FC" w:rsidP="003507EC">
      <w:pPr>
        <w:rPr>
          <w:rFonts w:ascii="Times New Roman" w:hAnsi="Times New Roman" w:cs="Times New Roman"/>
        </w:rPr>
      </w:pPr>
      <w:r>
        <w:rPr>
          <w:rFonts w:ascii="Times New Roman" w:hAnsi="Times New Roman" w:cs="Times New Roman"/>
        </w:rPr>
        <w:t>T</w:t>
      </w:r>
      <w:r w:rsidR="00241D90">
        <w:rPr>
          <w:rFonts w:ascii="Times New Roman" w:hAnsi="Times New Roman" w:cs="Times New Roman"/>
        </w:rPr>
        <w:t>hese t</w:t>
      </w:r>
      <w:r>
        <w:rPr>
          <w:rFonts w:ascii="Times New Roman" w:hAnsi="Times New Roman" w:cs="Times New Roman"/>
        </w:rPr>
        <w:t xml:space="preserve">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already 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function","type":"article-journal","volume":"319"},"uris":["http://www.mendeley.com/documents/?uuid=73052aeb-11a1-4150-9585-e9589cd98b1b"]}],"mendeley":{"formattedCitation":"(Schmitz 2008, 2009, Laigle et al. 2018)","plainTextFormattedCitation":"(Schmitz 2008, 2009, Laigle et al. 2018)","previouslyFormattedCitation":"(Schmitz 2008, 2009, Laigle et al.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(Schmitz 2008, 2009, Laigle et al. 2018)</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(e.g.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grassland","type":"article-journal","volume":"100"},"uris":["http://www.mendeley.com/documents/?uuid=9e52bc16-2e0b-41c3-b6a8-b77bedd700b6"]}],"mendeley":{"formattedCitation":"(Digel et al. 2014, Hines et al. 2019)","manualFormatting":"Digel et al. 2014, Hines et al. 2019)","plainTextFormattedCitation":"(Digel et al. 2014, Hines et al. 2019)","previouslyFormattedCitation":"(Digel et al. 2014, Hines et al. 2019)"},"properties":{"noteIndex":0},"schema":"https://github.com/citation-style-language/schema/raw/master/csl-citation.json"}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Digel et al. 2014, Hines et al. 2019)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the fact that individual species deviated from a general predator-prey body size scaling relationship and that hunting tools seem to be one mechanism for relaxing prey size selection constraints, suggest that</w:t>
      </w:r>
      <w:r w:rsidR="00C413B0">
        <w:rPr>
          <w:rFonts w:ascii="Times New Roman" w:hAnsi="Times New Roman" w:cs="Times New Roman"/>
        </w:rPr>
        <w:t xml:space="preserve"> the relationship between predator and prey size in a given community may be the result of the community average of these traits along with predator hunting traits</w:t>
      </w:r>
      <w:r w:rsidR="00BB26B2">
        <w:rPr>
          <w:rFonts w:ascii="Times New Roman" w:hAnsi="Times New Roman" w:cs="Times New Roman"/>
        </w:rPr>
        <w:t xml:space="preserve"> (</w:t>
      </w:r>
      <w:proofErr w:type="gramStart"/>
      <w:r w:rsidR="00BB26B2">
        <w:rPr>
          <w:rFonts w:ascii="Times New Roman" w:hAnsi="Times New Roman" w:cs="Times New Roman"/>
        </w:rPr>
        <w:t>e.g.</w:t>
      </w:r>
      <w:proofErr w:type="gramEnd"/>
      <w:r w:rsidR="00BB26B2">
        <w:rPr>
          <w:rFonts w:ascii="Times New Roman" w:hAnsi="Times New Roman" w:cs="Times New Roman"/>
        </w:rPr>
        <w:t xml:space="preserve"> community weighted </w:t>
      </w:r>
      <w:r w:rsidR="00C413B0">
        <w:rPr>
          <w:rFonts w:ascii="Times New Roman" w:hAnsi="Times New Roman" w:cs="Times New Roman"/>
        </w:rPr>
        <w:t>trait mean</w:t>
      </w:r>
      <w:r w:rsidR="00666F1F">
        <w:rPr>
          <w:rFonts w:ascii="Times New Roman" w:hAnsi="Times New Roman" w:cs="Times New Roman"/>
        </w:rPr>
        <w:t xml:space="preserve">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{"citationItems":[{"id":"ITEM-1","itemData":{"DOI":"10.1890/03-0799","ISSN":"00129658","abstract":"Although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author":[{"dropping-particle":"","family":"Garnier","given":"Eric","non-dropping-particle":"","parse-names":false,"suffix":""},{"dropping-particle":"","family":"Cortez","given":"Jacques","non-dropping-particle":"","parse-names":false,"suffix":""},{"dropping-particle":"","family":"Billès","given":"Georges","non-dropping-particle":"","parse-names":false,"suffix":""},{"dropping-particle":"","family":"Navas","given":"Marie Laure","non-dropping-particle":"","parse-names":false,"suffix":""},{"dropping-particle":"","family":"Roumet","given":"Catherine","non-dropping-particle":"","parse-names":false,"suffix":""},{"dropping-particle":"","family":"Debussche","given":"Max","non-dropping-particle":"","parse-names":false,"suffix":""},{"dropping-particle":"","family":"Laurent","given":"Gérard","non-dropping-particle":"","parse-names":false,"suffix":""},{"dropping-particle":"","family":"Blanchard","given":"Alain","non-dropping-particle":"","parse-names":false,"suffix":""},{"dropping-particle":"","family":"Aubry","given":"David","non-dropping-particle":"","parse-names":false,"suffix":""},{"dropping-particle":"","family":"Bellmann","given":"Astrid","non-dropping-particle":"","parse-names":false,"suffix":""},{"dropping-particle":"","family":"Neill","given":"Cathy","non-dropping-particle":"","parse-names":false,"suffix":""},{"dropping-particle":"","family":"Toussaint","given":"Jean Patrick","non-dropping-particle":"","parse-names":false,"suffix":""}],"container-title":"Ecology","id":"ITEM-1","issue":"9","issued":{"date-parts":[["2004"]]},"page":"2630-2637","title":"Plant functional markers capture ecosystem properties during secondary succession","type":"article-journal","volume":"85"},"uris":["http://www.mendeley.com/documents/?uuid=680f9262-c02f-415f-b374-59c5a8b58331"]}],"mendeley":{"formattedCitation":"(Garnier et al. 2004)","manualFormatting":"Garnier et al. 2004)","plainTextFormattedCitation":"(Garnier et al. 2004)","previouslyFormattedCitation":"(Garnier et al. 2004)"},"properties":{"noteIndex":0},"schema":"https://github.com/citation-style-language/schema/raw/master/csl-citation.json"}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Garnier et al. 2004)</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w:t>
      </w:r>
      <w:r w:rsidR="00AE58D1">
        <w:rPr>
          <w:rFonts w:ascii="Times New Roman" w:hAnsi="Times New Roman" w:cs="Times New Roman"/>
        </w:rPr>
        <w:t>Our dataset also highlights how empirical field data is key to understanding which traits may matter for constraining feeding interactions. Specifically, predators that use venom, such as centipedes, which are thought to relax prey size constraints (</w:t>
      </w:r>
      <w:proofErr w:type="gramStart"/>
      <w:r w:rsidR="00AE58D1">
        <w:rPr>
          <w:rFonts w:ascii="Times New Roman" w:hAnsi="Times New Roman" w:cs="Times New Roman"/>
        </w:rPr>
        <w:t>e.g.</w:t>
      </w:r>
      <w:proofErr w:type="gramEnd"/>
      <w:r w:rsidR="00AE58D1">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levels","type":"article-journal","volume":"123"},"uris":["http://www.mendeley.com/documents/?uuid=aa34e369-0df4-4c09-af6d-c5ccfdabf0c8"]}],"mendeley":{"formattedCitation":"(Digel et al. 2014)","manualFormatting":"Digel et al. 2014)","plainTextFormattedCitation":"(Digel et al. 2014)","previouslyFormattedCitation":"(Digel et al. 2014)"},"properties":{"noteIndex":0},"schema":"https://github.com/citation-style-language/schema/raw/master/csl-citation.json"}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Digel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AE58D1">
        <w:rPr>
          <w:rFonts w:ascii="Times New Roman" w:hAnsi="Times New Roman" w:cs="Times New Roman"/>
        </w:rPr>
        <w:t>fed on only relatively small-bodied prey in our dataset</w:t>
      </w:r>
      <w:r w:rsidR="005A2AE9">
        <w:rPr>
          <w:rFonts w:ascii="Times New Roman" w:hAnsi="Times New Roman" w:cs="Times New Roman"/>
        </w:rPr>
        <w:t xml:space="preserve"> (mean predator-prey mass ratio </w:t>
      </w:r>
      <w:r w:rsidR="005A2AE9" w:rsidRPr="00BF7A8B">
        <w:rPr>
          <w:rFonts w:ascii="Times New Roman" w:hAnsi="Times New Roman" w:cs="Times New Roman"/>
        </w:rPr>
        <w:t>247</w:t>
      </w:r>
      <w:r w:rsidR="005A2AE9">
        <w:rPr>
          <w:rFonts w:ascii="Times New Roman" w:hAnsi="Times New Roman" w:cs="Times New Roman"/>
        </w:rPr>
        <w:t xml:space="preserve"> ± 61:1),</w:t>
      </w:r>
      <w:r w:rsidR="00AE58D1">
        <w:rPr>
          <w:rFonts w:ascii="Times New Roman" w:hAnsi="Times New Roman" w:cs="Times New Roman"/>
        </w:rPr>
        <w:t xml:space="preserve"> </w:t>
      </w:r>
      <w:r w:rsidR="005A2AE9">
        <w:rPr>
          <w:rFonts w:ascii="Times New Roman" w:hAnsi="Times New Roman" w:cs="Times New Roman"/>
        </w:rPr>
        <w:t xml:space="preserve">and a presumed predatory earwig that uses neither venom or webs fed on relatively large prey </w:t>
      </w:r>
      <w:r w:rsidR="005A2AE9">
        <w:rPr>
          <w:rFonts w:ascii="Times New Roman" w:hAnsi="Times New Roman" w:cs="Times New Roman"/>
        </w:rPr>
        <w:lastRenderedPageBreak/>
        <w:t xml:space="preserve">(mean ± standard error of predator-prey mass ratio </w:t>
      </w:r>
      <w:r w:rsidR="005A2AE9" w:rsidRPr="00BF7A8B">
        <w:rPr>
          <w:rFonts w:ascii="Times New Roman" w:hAnsi="Times New Roman" w:cs="Times New Roman"/>
        </w:rPr>
        <w:t>4.35</w:t>
      </w:r>
      <w:r w:rsidR="005A2AE9">
        <w:rPr>
          <w:rFonts w:ascii="Times New Roman" w:hAnsi="Times New Roman" w:cs="Times New Roman"/>
        </w:rPr>
        <w:t xml:space="preserve"> ± 1.99:1), either suggesting some other predator trait or reliance on scavenging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and Wolkovich 2011)","plainTextFormattedCitation":"(Wilson and Wolkovich 2011)","previouslyFormattedCitation":"(Wilson and Wolkovich 2011)"},"properties":{"noteIndex":0},"schema":"https://github.com/citation-style-language/schema/raw/master/csl-citation.json"}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(Wilson and Wolkovich 2011)</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7E9D502B" w14:textId="1B5B2946" w:rsidR="006F01DF" w:rsidRDefault="006F01DF" w:rsidP="003507EC">
      <w:pPr>
        <w:rPr>
          <w:rFonts w:ascii="Times New Roman" w:hAnsi="Times New Roman" w:cs="Times New Roman"/>
        </w:rPr>
      </w:pPr>
    </w:p>
    <w:p w14:paraId="27A7D621" w14:textId="4DD531BB"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application","type":"article-journal","volume":"17"},"uris":["http://www.mendeley.com/documents/?uuid=b6ec3427-e89d-4e1b-ab29-b91c91ce59bc"]}],"mendeley":{"formattedCitation":"(Hyslop 1980, Duffy and Jackson 1986, Baker et al. 2014)","plainTextFormattedCitation":"(Hyslop 1980, Duffy and Jackson 1986, Baker et al. 2014)","previouslyFormattedCitation":"(Hyslop 1980, Duffy and Jackson 1986, Baker et al. 2014)"},"properties":{"noteIndex":0},"schema":"https://github.com/citation-style-language/schema/raw/master/csl-citation.json"}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(Hyslop 1980, Duffy and Jackson 1986, Baker et al. 2014)</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 xml:space="preserve">databases of DNA sequences continue to grow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and Hajibabaei 2018)","plainTextFormattedCitation":"(Porter and Hajibabaei 2018)","previouslyFormattedCitation":"(Porter and Hajibabaei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(Porter and Hajibabaei 2018)</w:t>
      </w:r>
      <w:r w:rsidR="00443203">
        <w:rPr>
          <w:rFonts w:ascii="Times New Roman" w:hAnsi="Times New Roman" w:cs="Times New Roman"/>
        </w:rPr>
        <w:fldChar w:fldCharType="end"/>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 (e.g.</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Richness","type":"article-journal","volume":"8"},"uris":["http://www.mendeley.com/documents/?uuid=f54d1d31-a8da-44dc-abe2-ca1eb027f1b8"]}],"mendeley":{"formattedCitation":"(McElroy et al. 2020)","manualFormatting":"McElroy et al. 2020)","plainTextFormattedCitation":"(McElroy et al. 2020)","previouslyFormattedCitation":"(McElroy et al. 2020)"},"properties":{"noteIndex":0},"schema":"https://github.com/citation-style-language/schema/raw/master/csl-citation.json"}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McElroy et al. 2020)</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 xml:space="preserve">restrict prey identification to </w:t>
      </w:r>
      <w:r w:rsidR="00F964FC">
        <w:rPr>
          <w:rFonts w:ascii="Times New Roman" w:hAnsi="Times New Roman" w:cs="Times New Roman"/>
        </w:rPr>
        <w:t xml:space="preserve">coarser </w:t>
      </w:r>
      <w:r w:rsidR="00823D7D">
        <w:rPr>
          <w:rFonts w:ascii="Times New Roman" w:hAnsi="Times New Roman" w:cs="Times New Roman"/>
        </w:rPr>
        <w:t xml:space="preserve">taxonomic levels. While individual body size data had high resolution for the predators included,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protocol","type":"article-journal","volume":"10"},"uris":["http://www.mendeley.com/documents/?uuid=84574fbc-fda2-4070-8f97-913c77a14be6"]}],"mendeley":{"formattedCitation":"(Elbrecht and Leese 2015, Elbrecht et al. 2017)","plainTextFormattedCitation":"(Elbrecht and Leese 2015, Elbrecht et al. 2017)","previouslyFormattedCitation":"(Elbrecht and Leese 2015, Elbrecht et al. 2017)"},"properties":{"noteIndex":0},"schema":"https://github.com/citation-style-language/schema/raw/master/csl-citation.json"}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(Elbrecht and Leese 2015, Elbrecht et al. 2017)</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443203">
        <w:rPr>
          <w:rFonts w:ascii="Times New Roman" w:hAnsi="Times New Roman" w:cs="Times New Roman"/>
        </w:rPr>
        <w:t>.</w:t>
      </w:r>
      <w:r w:rsidR="00823D7D">
        <w:rPr>
          <w:rFonts w:ascii="Times New Roman" w:hAnsi="Times New Roman" w:cs="Times New Roman"/>
        </w:rPr>
        <w:t xml:space="preserve"> </w:t>
      </w:r>
      <w:r w:rsidR="005A2AE9">
        <w:rPr>
          <w:rFonts w:ascii="Times New Roman" w:hAnsi="Times New Roman" w:cs="Times New Roman"/>
        </w:rPr>
        <w:t>Combining multiple genetic methods, such as RNA sequencing, could also highlight the hidden and potentially common interaction between predators and scavenged food sources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selection","type":"article-journal","volume":"9"},"uris":["http://www.mendeley.com/documents/?uuid=d1795e86-ea63-47d9-9102-328ed37dd52b"]}],"mendeley":{"formattedCitation":"(Nielsen et al. 2018)","plainTextFormattedCitation":"(Nielsen et al. 2018)","previouslyFormattedCitation":"(Nielsen et al.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(Nielsen et al. 2018)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24313B">
      <w:pPr>
        <w:rPr>
          <w:rFonts w:ascii="Times New Roman" w:hAnsi="Times New Roman" w:cs="Times New Roman"/>
        </w:rPr>
      </w:pPr>
    </w:p>
    <w:p w14:paraId="3178D174" w14:textId="1FD573F8"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extinct?","type":"article-journal","volume":"339"},"uris":["http://www.mendeley.com/documents/?uuid=32c304d3-8a3c-41b4-bfc6-42849ea06fab"]}],"mendeley":{"formattedCitation":"(Mora et al. 2011, Costello et al. 2013, Bar-On et al. 2018)","plainTextFormattedCitation":"(Mora et al. 2011, Costello et al. 2013, Bar-On et al. 2018)","previouslyFormattedCitation":"(Mora et al. 2011, Costello et al. 2013, Bar-On et al.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(Mora et al. 2011, Costello et al. 2013, Bar-On et al. 2018)</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(Brose et al. 2019)</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and hunting 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30417C">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and Ebenman 2006, Valiente-Banuet et al. 2015, Donohue et al. 2017)","plainTextFormattedCitation":"(Borrvall and Ebenman 2006, Valiente-Banuet et al. 2015, Donohue et al. 2017)","previouslyFormattedCitation":"(Borrvall and Ebenman 2006, Valiente-Banuet et al. 2015, Donohue et al. 2017)"},"properties":{"noteIndex":0},"schema":"https://github.com/citation-style-language/schema/raw/master/csl-citation.json"}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(Borrvall and Ebenman 2006, Valiente-Banuet et al. 2015, Donohue et al. 2017)</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10305CDD"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lastRenderedPageBreak/>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w:t>
      </w:r>
      <w:proofErr w:type="spellStart"/>
      <w:r w:rsidR="007E0F1E">
        <w:rPr>
          <w:rFonts w:ascii="Times New Roman" w:hAnsi="Times New Roman" w:cs="Times New Roman"/>
          <w:bCs/>
        </w:rPr>
        <w:t>Titcomb</w:t>
      </w:r>
      <w:proofErr w:type="spellEnd"/>
      <w:r w:rsidR="007E0F1E">
        <w:rPr>
          <w:rFonts w:ascii="Times New Roman" w:hAnsi="Times New Roman" w:cs="Times New Roman"/>
          <w:bCs/>
        </w:rPr>
        <w:t xml:space="preserve">, </w:t>
      </w:r>
      <w:r>
        <w:rPr>
          <w:rFonts w:ascii="Times New Roman" w:hAnsi="Times New Roman" w:cs="Times New Roman"/>
          <w:bCs/>
        </w:rPr>
        <w:t xml:space="preserve">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7C11DA0D" w14:textId="1F6294B9"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30417C">
        <w:rPr>
          <w:rFonts w:ascii="Times New Roman" w:hAnsi="Times New Roman" w:cs="Times New Roman"/>
          <w:noProof/>
        </w:rPr>
        <w:t>Baker, R., A. Buckland, and M. Sheaves. 2014. Fish gut content analysis: Robust measures of diet composition. Fish and Fisheries 15:170–177.</w:t>
      </w:r>
    </w:p>
    <w:p w14:paraId="53E7250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Bar-On, Y. M., R. Phillips, and R. Milo. 2018. The biomass distribution on Earth. Proceedings of the National Academy of Sciences of the United States of America 115:6506–6511.</w:t>
      </w:r>
    </w:p>
    <w:p w14:paraId="658349A3"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Barton, K. 2020. MuMIn: Multi-Model Inference.</w:t>
      </w:r>
    </w:p>
    <w:p w14:paraId="78ACEDD8"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Borrvall, C., and B. Ebenman. 2006. Early onset of secondary extinctions in ecological communities following the loss of top predators. Ecology Letters 9:435–442.</w:t>
      </w:r>
    </w:p>
    <w:p w14:paraId="1D2D6C6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Brodie, J. F., C. E. Aslan, H. S. Rogers, K. H. Redford, J. L. Maron, J. L. Bronstein, and C. R. Groves. 2014. Secondary extinctions of biodiversity. Trends in Ecology and Evolution 29:664–672.</w:t>
      </w:r>
    </w:p>
    <w:p w14:paraId="72A5A6A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Brose, U., P. Archambault, A. D. Barnes, L. F. Bersier, T. Boy, J. Canning-Clode, E. Conti, M. Dias, C. Digel, A. Dissanayake, A. A. V. Flores, K. Fussmann, B. Gauzens, C. Gray, J. Häussler, M. R. Hirt, U. Jacob, M. Jochum, S. Kéfi, O. McLaughlin, M. M. MacPherson, E. Latz, K. Layer-Dobra, P. Legagneux, Y. Li, C. Madeira, N. D. Martinez, V. Mendonça, C. Mulder, S. A. Navarrete, E. J. O’Gorman, D. Ott, J. Paula, D. Perkins, D. Piechnik, I. Pokrovsky, D. Raffaelli, B. C. Rall, B. Rosenbaum, R. Ryser, A. Silva, E. H. Sohlström, N. Sokolova, M. S. A. Thompson, R. M. Thompson, F. Vermandele, C. Vinagre, S. Wang, J. M. Wefer, R. J. Williams, E. Wieters, G. Woodward, and A. C. Iles. 2019. Predator traits determine food-web architecture across ecosystems. Nature Ecology and Evolution 3:919–927.</w:t>
      </w:r>
    </w:p>
    <w:p w14:paraId="57F6533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Bui, A., H. Lowman, A. S. Guerra, and A. Miller-ter Kuile. 2020. calecopal: A California-inspired Package of Color Palettes.</w:t>
      </w:r>
    </w:p>
    <w:p w14:paraId="1FE25D7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Callahan, B. J., P. J. McMurdie, M. J. Rosen, A. W. Han, A. J. A. Johnson, and S. P. Holmes. 2016. DADA2: High-resolution sample inference from Illumina amplicon data. Nature Methods 13:581–583.</w:t>
      </w:r>
    </w:p>
    <w:p w14:paraId="4A2754F9"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Costello, M. J., R. M. May, and N. E. Stork. 2013. Can we name earth’s species before they go extinct? Science 339:413–416.</w:t>
      </w:r>
    </w:p>
    <w:p w14:paraId="61F3B2A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Digel, C., A. Curtsdotter, J. Riede, B. Klarner, and U. Brose. 2014. Unravelling the complex structure of forest soil food webs: Higher omnivory and more trophic levels. Oikos 123:1157–1172.</w:t>
      </w:r>
    </w:p>
    <w:p w14:paraId="5D1923C7"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Donohue, I., O. L. Petchey, S. Kéfi, A. Génin, A. L. Jackson, Q. Yang, and N. E. O’Connor. 2017. Loss of predator species, not intermediate consumers, triggers rapid and dramatic extinction cascades. Global Change Biology 23:2962–2972.</w:t>
      </w:r>
    </w:p>
    <w:p w14:paraId="287E8035"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Duffy, D. C., and S. Jackson. 1986. Diet Studies of Seabirds: A Review of Methods. Colonial Waterbirds 9:1–17.</w:t>
      </w:r>
    </w:p>
    <w:p w14:paraId="18092ED9"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Eitzinger, B., N. Abrego, D. Gravel, T. Huotari, E. J. Vesterinen, and T. Roslin. 2019. Assessing changes in arthropod predator–prey interactions through DNA-based gut content analysis—variable environment, stable diet. Molecular Ecology 28:266–280.</w:t>
      </w:r>
    </w:p>
    <w:p w14:paraId="3356FA2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lastRenderedPageBreak/>
        <w:t>Elbrecht, V., and F. Leese. 2015. Can DNA-based ecosystem assessments quantify species abundance? Testing primer bias and biomass-sequence relationships with an innovative metabarcoding protocol. PLoS ONE 10:1–16.</w:t>
      </w:r>
    </w:p>
    <w:p w14:paraId="2AC749F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Elbrecht, V., B. Peinert, and F. Leese. 2017. Sorting things out: Assessing effects of unequal specimen biomass on DNA metabarcoding. Ecology and Evolution 7:6918–6926.</w:t>
      </w:r>
    </w:p>
    <w:p w14:paraId="3A6C56A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Garnier, E., J. Cortez, G. Billès, M. L. Navas, C. Roumet, M. Debussche, G. Laurent, A. Blanchard, D. Aubry, A. Bellmann, C. Neill, and J. P. Toussaint. 2004. Plant functional markers capture ecosystem properties during secondary succession. Ecology 85:2630–2637.</w:t>
      </w:r>
    </w:p>
    <w:p w14:paraId="69441B2E"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Gravel, D., T. Poisot, C. Albouy, L. Velez, and D. Mouillot. 2013. Inferring food web structure from predator-prey body size relationships. Methods in Ecology and Evolution 4:1083–1090.</w:t>
      </w:r>
    </w:p>
    <w:p w14:paraId="74D3927E"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Gray, C., D. H. Figueroa, L. N. Hudson, A. Ma, D. Perkins, and G. Woodward. 2015. Joining the dots: An automated method for constructing food webs from compendia of published interactions. Food Webs 5:11–20.</w:t>
      </w:r>
    </w:p>
    <w:p w14:paraId="73A7E35B"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Greenstone, M. H., D. C. Weber, T. C. Coudron, and M. E. Payton. 2011. Unnecessary roughness? Testing the hypothesis that predators destined for molecular gut-content analysis must be hand-collected to avoid cross-contamination. Molecular Ecology Resources 11:286–293.</w:t>
      </w:r>
    </w:p>
    <w:p w14:paraId="0ACA165E"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Handler, A., D. Gruner, W. Haines, M. Lange, and K. Kaneshiro. 2007. Arthropod surveys on Palmyra Atoll, Line Islands, and insights into the decline of the native tree Pisonia grandis (Nyctaginaceae). Pacific Science 61:485–502.</w:t>
      </w:r>
    </w:p>
    <w:p w14:paraId="05C8D4D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Hartig, F. 2020. DHARMa.</w:t>
      </w:r>
    </w:p>
    <w:p w14:paraId="0499000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Hines, J., D. P. Giling, M. Rzanny, W. Voigt, S. T. Meyer, W. W. Weisser, N. Eisenhauer, and A. Ebeling. 2019. A meta food web for invertebrate species collected in a European grassland. Ecology 100:2679.</w:t>
      </w:r>
    </w:p>
    <w:p w14:paraId="7CA3364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Hsieh, T. C., and A. Chao. 2017. Rarefaction and extrapolation: Making fair comparison of abundance-sensitive phylogenetic diversity among multiple assemblages. Systematic Biology 66:100–111.</w:t>
      </w:r>
    </w:p>
    <w:p w14:paraId="1C65456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Hsieh, T. C., K. H. Ma, and A. Chao. 2016. iNEXT: an R package for rarefaction and extrapolation of species diversity (Hill numbers). Methods in Ecology and Evolution 7:1451–1456.</w:t>
      </w:r>
    </w:p>
    <w:p w14:paraId="7424B943"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Hyslop, E. J. 1980. Stomach contents analysis - a review of methods and their application. Journal of Fish Biology 17:411–429.</w:t>
      </w:r>
    </w:p>
    <w:p w14:paraId="3FE443A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Ings, T. C., J. M. Montoya, J. Bascompte, N. Bluthgren, L. Brown, C. Dormann, F. Edwards, D. Figueroa, U. Jacob, J. I. Jones, R. B. Lauridsen, M. E. Ledger, H. M. Lewis, J. M. Olesen, F. J. F. Van Veen, P. H. Warren, and G. Woodward. 2009. Ecological networks - Beyond food webs. Journal of Animal Ecology 78:253–269.</w:t>
      </w:r>
    </w:p>
    <w:p w14:paraId="3304A235"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Kartzinel, T. R., P. a. Chen, T. C. Coverdale, D. L. Erickson, W. J. Kress, M. L. Kuzmina, D. I. Rubenstein, W. Wang, and R. M. Pringle. 2015. DNA metabarcoding illuminates dietary niche partitioning by African large herbivores. Proceedings of the National Academy of Sciences 112:8019–8024.</w:t>
      </w:r>
    </w:p>
    <w:p w14:paraId="53CF8FBD"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Krehenwinkel, H., S. Kennedy, S. Pekár, and R. G. Gillespie. 2017. A cost‐efficient and simple protocol to enrich prey DNA from extractions of predatory arthropods for large‐scale gut content analysis by Illumina sequencing. Methods in Ecology and Evolution 8:126–134.</w:t>
      </w:r>
    </w:p>
    <w:p w14:paraId="5CCA203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Laigle, I., I. Aubin, C. Digel, U. Brose, I. Boulangeat, and D. Gravel. 2018. Species traits as drivers of food web structure. Oikos 127:316–326.</w:t>
      </w:r>
    </w:p>
    <w:p w14:paraId="514401E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lastRenderedPageBreak/>
        <w:t>Leray, M., J. Y. Yang, C. P. Meyer, S. C. Mills, N. Agudelo, V. Ranwez, J. T. Boehm, and R. J. Machida. 2013. A new versatile primer set targeting a short fragment of the mitochondrial COI region for metabarcoding metazoan diversity: Application for characterizing coral reef fish gut contents. Frontiers in Zoology 10:1.</w:t>
      </w:r>
    </w:p>
    <w:p w14:paraId="3908EB48"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McCann, K. 2000. The diversity–stability debate. Nature 405.</w:t>
      </w:r>
    </w:p>
    <w:p w14:paraId="2636FB2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McElroy, M. E., T. L. Dressler, G. C. Titcomb, E. A. Wilson, K. Deiner, T. L. Dudley, E. J. Eliason, N. T. Evans, S. D. Gaines, K. D. Lafferty, G. A. Lamberti, Y. Li, D. M. Lodge, M. S. Love, A. R. Mahon, M. E. Pfrender, M. A. Renshaw, K. A. Selkoe, and C. L. Jerde. 2020. Calibrating Environmental DNA Metabarcoding to Conventional Surveys for Measuring Fish Species Richness. Frontiers in Ecology and Evolution 8:0–12.</w:t>
      </w:r>
    </w:p>
    <w:p w14:paraId="264CEFE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McLaughlin, Ó. B., T. Jonsson, and M. C. Emmerson. 2010. Temporal Variability in Predator-Prey Relationships of a Forest Floor Food Web. Page Advances in Ecological Research. Elsevier Ltd.</w:t>
      </w:r>
    </w:p>
    <w:p w14:paraId="709BBB9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Miller-ter Kuile, A., A. Apigo, and H. Young. 2020. Effects of surface sterilization on diet DNA metabarcoding data of invertebrate consumers in mesocosms and natural environments.</w:t>
      </w:r>
    </w:p>
    <w:p w14:paraId="21779D4B"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Mora, C., D. P. Tittensor, S. Adl, A. G. B. Simpson, and B. Worm. 2011. How many species are there on earth and in the ocean? PLoS Biology 9:1–8.</w:t>
      </w:r>
    </w:p>
    <w:p w14:paraId="04DA0437"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Nakazawa, T. 2017. Individual interaction data are required in community ecology: a conceptual review of the predator–prey mass ratio and more. Ecological Research 32:5–12.</w:t>
      </w:r>
    </w:p>
    <w:p w14:paraId="3AE06DC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Nielsen, J. M., E. L. Clare, B. Hayden, M. T. Brett, and P. Kratina. 2018. Diet tracing in ecology: Method comparison and selection. Methods in Ecology and Evolution 9:278–291.</w:t>
      </w:r>
    </w:p>
    <w:p w14:paraId="4EE01CD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Piechnik, D. A., S. P. Lawler, and N. D. Martinez. 2008. Food-web assembly during a classic biogeographic study: species’ “trophic breadth.” Oikos 117:665–674.</w:t>
      </w:r>
    </w:p>
    <w:p w14:paraId="06BE809B"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Polis, G. A. 1991. Complex Trophic Interactions in Deserts: An Empirical Critique of Food-Web Theory. The American Naturalist 138:123–155.</w:t>
      </w:r>
    </w:p>
    <w:p w14:paraId="5558656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Pomeranz, J. P. F., R. M. Thompson, T. Poisot, and J. S. Harding. 2019. Inferring predator–prey interactions in food webs. Methods in Ecology and Evolution 10:356–367.</w:t>
      </w:r>
    </w:p>
    <w:p w14:paraId="3B36982D"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Porter, T. M., and M. Hajibabaei. 2018. Over 2.5 million COI sequences in GenBank and growing. PLoS ONE 13:1–16.</w:t>
      </w:r>
    </w:p>
    <w:p w14:paraId="3878D0F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Raffaelli, D. 2007. Food webs, body size and the curse of the latin binomial. From Energetics to Ecosystems: The Dynamics and Structure of Ecological Systems:53–64.</w:t>
      </w:r>
    </w:p>
    <w:p w14:paraId="0DF451D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Rall, B. C., G. Kalinkat, D. Ott, O. Vucic-Prestic, and U. Brose. 2011. Taxonomic versus allometric constraints on non-linear interaction strengths. Oikos 120:483–492.</w:t>
      </w:r>
    </w:p>
    <w:p w14:paraId="70F39577"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Rudolf, V. H. W., N. L. Rasmussen, C. J. Dibble, and B. G. Van Allen. 2014. Resolving the roles of body size and species identity in driving functional diversity. Proceedings of the Royal Society B 281:20133203.</w:t>
      </w:r>
    </w:p>
    <w:p w14:paraId="4BB9EE9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Schmitz, O. J. 2008. Effects of predator hunting mode on grassland ecosystem function. Science 319:952–954.</w:t>
      </w:r>
    </w:p>
    <w:p w14:paraId="3701FFB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Schmitz, O. J. 2009. Effects of predator functional diversity on grassland ecosystem function. Ecology 90:2339–2345.</w:t>
      </w:r>
    </w:p>
    <w:p w14:paraId="62BC4E3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Sheppard, S. K., and J. D. Harwood. 2005. Advances in molecular ecology: Tracking trophic links through predator-prey food-webs. Functional Ecology 19:751–762.</w:t>
      </w:r>
    </w:p>
    <w:p w14:paraId="6D12B24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Simberloff, D. S., and E. O. Wilson. 1969. Experimental Zoogeography of Islands : The Colonization of Empty Islands. Ecology 50:278–296.</w:t>
      </w:r>
    </w:p>
    <w:p w14:paraId="014D72FC"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 xml:space="preserve">Sohlström, E. H., L. Marian, A. D. Barnes, N. F. Haneda, S. Scheu, B. C. Rall, U. Brose, and M. Jochum. 2018. Applying generalized allometric regressions to predict live body mass of </w:t>
      </w:r>
      <w:r w:rsidRPr="0030417C">
        <w:rPr>
          <w:rFonts w:ascii="Times New Roman" w:hAnsi="Times New Roman" w:cs="Times New Roman"/>
          <w:noProof/>
        </w:rPr>
        <w:lastRenderedPageBreak/>
        <w:t>tropical and temperate arthropods. Ecology and Evolution 8:12737–12749.</w:t>
      </w:r>
    </w:p>
    <w:p w14:paraId="1340DB55"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Stork, N. E. 2018. How Many Species of Insects and Other Terrestrial Arthropods Are There on Earth? Annual Review of Entomology 63:31–45.</w:t>
      </w:r>
    </w:p>
    <w:p w14:paraId="3A2AFEA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Stouffer, D. B., J. Camacho, R. Guimera, C. A. Ng, and L. A. Nunes Amaral. 2005. Quantitative patterns in the structure of model and empirical food webs. Ecology 86:1301–1311.</w:t>
      </w:r>
    </w:p>
    <w:p w14:paraId="1E79446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Su, G., R. Dudley, T. Pan, M. Zheng, L. Peng, and Q. Li. 2020. Maximum aerodynamic force production by the wandering glider dragonfly (Pantala flavescens, Libellulidae). The Journal of experimental biology 223.</w:t>
      </w:r>
    </w:p>
    <w:p w14:paraId="2D41BD7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Valiente-Banuet, A., M. A. Aizen, J. M. Alcántara, J. Arroyo, A. Cocucci, M. Galetti, M. B. García, D. García, J. M. Gómez, P. Jordano, R. Medel, L. Navarro, J. R. Obeso, R. Oviedo, N. Ramírez, P. J. Rey, A. Traveset, M. Verdú, and R. Zamora. 2015. Beyond species loss: The extinction of ecological interactions in a changing world. Functional Ecology 29:299–307.</w:t>
      </w:r>
    </w:p>
    <w:p w14:paraId="4E0F6CB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van der Valk, T., F. Vezzi, M. Ormestad, L. Dalén, and K. Guschanski. 2020. Index hopping on the Illumina HiseqX platform and its consequences for ancient DNA studies. Molecular Ecology Resources 20:1171–1181.</w:t>
      </w:r>
    </w:p>
    <w:p w14:paraId="40CA1EBD"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Wilson, E. E., and E. M. Wolkovich. 2011. Scavenging: How carnivores and carrion structure communities. Trends in Ecology and Evolution 26:129–135.</w:t>
      </w:r>
    </w:p>
    <w:p w14:paraId="250A215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Woodward, G., B. Ebenman, M. Emmerson, J. M. Montoya, J. M. Olesen, A. Valido, and P. H. Warren. 2005. Body size in ecological networks. Trends in Ecology and Evolution 20:402–409.</w:t>
      </w:r>
    </w:p>
    <w:p w14:paraId="10ADB09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Yaninek, J. S., and D. Gnanvossou. 1993. Fresh and dry wei ghts of Mononychellus tanajoa (Acari: Tetranychidae): A functional description of biomass accumulation. Experimental and Applied Acarology 17:775–779.</w:t>
      </w:r>
    </w:p>
    <w:p w14:paraId="725B79B9"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Yu, D. W., Y. Ji, B. C. Emerson, X. Wang, C. Ye, C. Yang, and Z. Ding. 2012. Biodiversity soup: Metabarcoding of arthropods for rapid biodiversity assessment and biomonitoring. Methods in Ecology and Evolution 3:613–623.</w:t>
      </w:r>
    </w:p>
    <w:p w14:paraId="09B3EFAC" w14:textId="3A59A040" w:rsidR="00DE3441" w:rsidRDefault="0030417C" w:rsidP="003F3823">
      <w:pPr>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6289E28B" w:rsidR="003E2AB0" w:rsidRDefault="007F4BA7" w:rsidP="003F3823">
      <w:pPr>
        <w:rPr>
          <w:rFonts w:ascii="Times New Roman" w:hAnsi="Times New Roman" w:cs="Times New Roman"/>
          <w:b/>
          <w:bCs/>
        </w:rPr>
      </w:pPr>
      <w:r>
        <w:rPr>
          <w:rFonts w:ascii="Times New Roman" w:hAnsi="Times New Roman" w:cs="Times New Roman"/>
          <w:b/>
          <w:bCs/>
          <w:noProof/>
        </w:rPr>
        <w:drawing>
          <wp:inline distT="0" distB="0" distL="0" distR="0" wp14:anchorId="5EC4E94D" wp14:editId="55C8A144">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657D1D14" w14:textId="77777777" w:rsidR="00B66A52" w:rsidRDefault="00B66A52" w:rsidP="003F3823">
      <w:pPr>
        <w:rPr>
          <w:rFonts w:ascii="Times New Roman" w:hAnsi="Times New Roman" w:cs="Times New Roman"/>
        </w:rPr>
      </w:pPr>
    </w:p>
    <w:p w14:paraId="7EACC970" w14:textId="1DB6C5AC" w:rsidR="00B66A52" w:rsidRDefault="00B66A52" w:rsidP="003F3823">
      <w:pPr>
        <w:rPr>
          <w:rFonts w:ascii="Times New Roman" w:hAnsi="Times New Roman" w:cs="Times New Roman"/>
        </w:rPr>
      </w:pPr>
      <w:r>
        <w:rPr>
          <w:rFonts w:ascii="Times New Roman" w:hAnsi="Times New Roman" w:cs="Times New Roman"/>
          <w:noProof/>
        </w:rPr>
        <w:drawing>
          <wp:inline distT="0" distB="0" distL="0" distR="0" wp14:anchorId="07CA2A5C" wp14:editId="09B0BB2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807BC5A" w14:textId="04635F78" w:rsidR="00DE3441" w:rsidRDefault="00DE3441" w:rsidP="003F3823">
      <w:pPr>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34</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31343D23" w:rsidR="00746B5A" w:rsidRDefault="00DC5A83" w:rsidP="00746B5A">
      <w:pPr>
        <w:rPr>
          <w:rFonts w:ascii="Times New Roman" w:hAnsi="Times New Roman" w:cs="Times New Roman"/>
        </w:rPr>
      </w:pPr>
      <w:r>
        <w:rPr>
          <w:rFonts w:ascii="Times New Roman" w:hAnsi="Times New Roman" w:cs="Times New Roman"/>
        </w:rPr>
        <w:t xml:space="preserve"> </w:t>
      </w:r>
    </w:p>
    <w:p w14:paraId="615B22E2" w14:textId="714F1705" w:rsidR="00746B5A" w:rsidRDefault="00B66A52" w:rsidP="00746B5A">
      <w:pPr>
        <w:rPr>
          <w:rFonts w:ascii="Times New Roman" w:hAnsi="Times New Roman" w:cs="Times New Roman"/>
        </w:rPr>
      </w:pPr>
      <w:r>
        <w:rPr>
          <w:rFonts w:ascii="Times New Roman" w:hAnsi="Times New Roman" w:cs="Times New Roman"/>
          <w:noProof/>
        </w:rPr>
        <w:lastRenderedPageBreak/>
        <w:drawing>
          <wp:inline distT="0" distB="0" distL="0" distR="0" wp14:anchorId="02331A46" wp14:editId="1CB309A4">
            <wp:extent cx="5943600" cy="433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005612D8" w14:textId="7955341E"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individuals</w:t>
      </w:r>
      <w:r>
        <w:rPr>
          <w:rFonts w:ascii="Times New Roman" w:hAnsi="Times New Roman" w:cs="Times New Roman"/>
        </w:rPr>
        <w:t>). Predators with web-using traits can relax traits related to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-transformed scale to demonstrate spread in the data. The dashed line indicates the 1:1 ratio where predators and prey are the same size</w:t>
      </w:r>
      <w:r w:rsidR="00D05875">
        <w:rPr>
          <w:rFonts w:ascii="Times New Roman" w:hAnsi="Times New Roman" w:cs="Times New Roman"/>
        </w:rPr>
        <w:t xml:space="preserve">; any interaction below this line indicates prey items that are larger than predator individuals.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3-03T10:28:00Z" w:initials="AMK">
    <w:p w14:paraId="6EED2020" w14:textId="77777777" w:rsidR="00B66A52" w:rsidRDefault="00B66A52">
      <w:pPr>
        <w:pStyle w:val="CommentText"/>
      </w:pPr>
      <w:r>
        <w:rPr>
          <w:rStyle w:val="CommentReference"/>
        </w:rPr>
        <w:annotationRef/>
      </w:r>
      <w:r>
        <w:t>To do:</w:t>
      </w:r>
    </w:p>
    <w:p w14:paraId="74BE692E" w14:textId="77777777" w:rsidR="00B66A52" w:rsidRDefault="00B66A52" w:rsidP="00B66A52">
      <w:pPr>
        <w:pStyle w:val="CommentText"/>
        <w:numPr>
          <w:ilvl w:val="0"/>
          <w:numId w:val="4"/>
        </w:numPr>
      </w:pPr>
      <w:r>
        <w:t>Check figure and table numbering throughout</w:t>
      </w:r>
    </w:p>
    <w:p w14:paraId="20FC908F" w14:textId="77777777" w:rsidR="00B66A52" w:rsidRDefault="00B66A52" w:rsidP="00B66A52">
      <w:pPr>
        <w:pStyle w:val="CommentText"/>
        <w:numPr>
          <w:ilvl w:val="0"/>
          <w:numId w:val="4"/>
        </w:numPr>
      </w:pPr>
      <w:r>
        <w:t>Update figure/table numbering in supplement</w:t>
      </w:r>
    </w:p>
    <w:p w14:paraId="668B3CA3" w14:textId="77777777" w:rsidR="00B66A52" w:rsidRDefault="00B66A52" w:rsidP="00B66A52">
      <w:pPr>
        <w:pStyle w:val="CommentText"/>
        <w:numPr>
          <w:ilvl w:val="0"/>
          <w:numId w:val="4"/>
        </w:numPr>
      </w:pPr>
      <w:r>
        <w:t>Add in citations</w:t>
      </w:r>
    </w:p>
    <w:p w14:paraId="41CB71F8" w14:textId="77777777" w:rsidR="00B66A52" w:rsidRDefault="00B66A52" w:rsidP="00B66A52">
      <w:pPr>
        <w:pStyle w:val="CommentText"/>
        <w:numPr>
          <w:ilvl w:val="0"/>
          <w:numId w:val="4"/>
        </w:numPr>
      </w:pPr>
      <w:r>
        <w:t>Update figures</w:t>
      </w:r>
    </w:p>
    <w:p w14:paraId="60F6B568" w14:textId="10052A4B" w:rsidR="00B66A52" w:rsidRDefault="00B66A52" w:rsidP="00B66A52">
      <w:pPr>
        <w:pStyle w:val="CommentText"/>
        <w:numPr>
          <w:ilvl w:val="0"/>
          <w:numId w:val="4"/>
        </w:numPr>
      </w:pPr>
      <w:r>
        <w:t>More keywords?</w:t>
      </w:r>
    </w:p>
  </w:comment>
  <w:comment w:id="1" w:author="Ana Miller-Ter Kuile" w:date="2021-03-03T10:27:00Z" w:initials="AMK">
    <w:p w14:paraId="233A1013" w14:textId="726D9ABF" w:rsidR="00E22E12" w:rsidRDefault="00E22E12">
      <w:pPr>
        <w:pStyle w:val="CommentText"/>
      </w:pPr>
      <w:r>
        <w:rPr>
          <w:rStyle w:val="CommentReference"/>
        </w:rPr>
        <w:annotationRef/>
      </w:r>
      <w:r>
        <w:t>Suggestions for more?</w:t>
      </w:r>
    </w:p>
  </w:comment>
  <w:comment w:id="2" w:author="Ana Miller-Ter Kuile" w:date="2021-03-03T11:49:00Z" w:initials="AMK">
    <w:p w14:paraId="5E2D431C" w14:textId="115012EF" w:rsidR="002F52C7" w:rsidRDefault="002F52C7">
      <w:pPr>
        <w:pStyle w:val="CommentText"/>
      </w:pPr>
      <w:r>
        <w:rPr>
          <w:rStyle w:val="CommentReference"/>
        </w:rPr>
        <w:annotationRef/>
      </w:r>
      <w:r>
        <w:t>update</w:t>
      </w:r>
    </w:p>
  </w:comment>
  <w:comment w:id="3" w:author="Austen Apigo" w:date="2021-03-01T16:07:00Z" w:initials="AA">
    <w:p w14:paraId="26DA878B" w14:textId="158644EC" w:rsidR="00F151EE" w:rsidRDefault="00F151EE">
      <w:pPr>
        <w:pStyle w:val="CommentText"/>
      </w:pPr>
      <w:r>
        <w:rPr>
          <w:rStyle w:val="CommentReference"/>
        </w:rPr>
        <w:annotationRef/>
      </w:r>
      <w:r>
        <w:t xml:space="preserve">Samples were rarefied after removing predator </w:t>
      </w:r>
      <w:proofErr w:type="gramStart"/>
      <w:r>
        <w:t>DNA?</w:t>
      </w:r>
      <w:proofErr w:type="gramEnd"/>
    </w:p>
  </w:comment>
  <w:comment w:id="4" w:author="Ana Miller-Ter Kuile" w:date="2021-03-03T10:21:00Z" w:initials="AMK">
    <w:p w14:paraId="092EB8E8" w14:textId="653FF0E9" w:rsidR="00B40560" w:rsidRDefault="00B40560">
      <w:pPr>
        <w:pStyle w:val="CommentText"/>
      </w:pPr>
      <w:r>
        <w:rPr>
          <w:rStyle w:val="CommentReference"/>
        </w:rPr>
        <w:annotationRef/>
      </w:r>
      <w:r>
        <w:t>before</w:t>
      </w:r>
    </w:p>
  </w:comment>
  <w:comment w:id="5" w:author="Austen Apigo" w:date="2021-03-01T16:01:00Z" w:initials="AA">
    <w:p w14:paraId="498CB255" w14:textId="1ADCE219" w:rsidR="00F151EE" w:rsidRDefault="00F151EE">
      <w:pPr>
        <w:pStyle w:val="CommentText"/>
      </w:pPr>
      <w:r>
        <w:rPr>
          <w:rStyle w:val="CommentReference"/>
        </w:rPr>
        <w:annotationRef/>
      </w:r>
      <w:r>
        <w:t xml:space="preserve">And did this too using negative controls to account for prey sequence jumping? </w:t>
      </w:r>
    </w:p>
  </w:comment>
  <w:comment w:id="6" w:author="Ana Miller-Ter Kuile" w:date="2021-03-03T10:25:00Z" w:initials="AMK">
    <w:p w14:paraId="54270910" w14:textId="61DC508C" w:rsidR="00B40560" w:rsidRDefault="00B40560">
      <w:pPr>
        <w:pStyle w:val="CommentText"/>
      </w:pPr>
      <w:r>
        <w:rPr>
          <w:rStyle w:val="CommentReference"/>
        </w:rPr>
        <w:annotationRef/>
      </w:r>
      <w:r w:rsidR="00255EC5">
        <w:t>Note: Put in negative control methods I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F6B568" w15:done="0"/>
  <w15:commentEx w15:paraId="233A1013" w15:done="0"/>
  <w15:commentEx w15:paraId="5E2D431C" w15:done="0"/>
  <w15:commentEx w15:paraId="26DA878B" w15:done="0"/>
  <w15:commentEx w15:paraId="092EB8E8" w15:paraIdParent="26DA878B" w15:done="0"/>
  <w15:commentEx w15:paraId="498CB255" w15:done="0"/>
  <w15:commentEx w15:paraId="54270910" w15:paraIdParent="498CB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9E344" w16cex:dateUtc="2021-03-03T16:28:00Z"/>
  <w16cex:commentExtensible w16cex:durableId="23E9E306" w16cex:dateUtc="2021-03-03T16:27:00Z"/>
  <w16cex:commentExtensible w16cex:durableId="23E9F644" w16cex:dateUtc="2021-03-03T17:49:00Z"/>
  <w16cex:commentExtensible w16cex:durableId="23E78FCF" w16cex:dateUtc="2021-03-02T00:07:00Z"/>
  <w16cex:commentExtensible w16cex:durableId="23E9E1AB" w16cex:dateUtc="2021-03-03T16:21:00Z"/>
  <w16cex:commentExtensible w16cex:durableId="23E78E59" w16cex:dateUtc="2021-03-02T00:01:00Z"/>
  <w16cex:commentExtensible w16cex:durableId="23E9E289" w16cex:dateUtc="2021-03-03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F6B568" w16cid:durableId="23E9E344"/>
  <w16cid:commentId w16cid:paraId="233A1013" w16cid:durableId="23E9E306"/>
  <w16cid:commentId w16cid:paraId="5E2D431C" w16cid:durableId="23E9F644"/>
  <w16cid:commentId w16cid:paraId="26DA878B" w16cid:durableId="23E78FCF"/>
  <w16cid:commentId w16cid:paraId="092EB8E8" w16cid:durableId="23E9E1AB"/>
  <w16cid:commentId w16cid:paraId="498CB255" w16cid:durableId="23E78E59"/>
  <w16cid:commentId w16cid:paraId="54270910" w16cid:durableId="23E9E2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Austen Apigo">
    <w15:presenceInfo w15:providerId="None" w15:userId="Austen Ap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179D"/>
    <w:rsid w:val="000C4A14"/>
    <w:rsid w:val="000D401C"/>
    <w:rsid w:val="000D4198"/>
    <w:rsid w:val="000E1D95"/>
    <w:rsid w:val="000F7C18"/>
    <w:rsid w:val="0010005A"/>
    <w:rsid w:val="0010220B"/>
    <w:rsid w:val="00106E79"/>
    <w:rsid w:val="00121B45"/>
    <w:rsid w:val="001231A3"/>
    <w:rsid w:val="0012525B"/>
    <w:rsid w:val="0016204D"/>
    <w:rsid w:val="00167E69"/>
    <w:rsid w:val="001739F9"/>
    <w:rsid w:val="00183C01"/>
    <w:rsid w:val="00184A4E"/>
    <w:rsid w:val="00186ECE"/>
    <w:rsid w:val="00195433"/>
    <w:rsid w:val="00195C03"/>
    <w:rsid w:val="001A3F08"/>
    <w:rsid w:val="001A7E3C"/>
    <w:rsid w:val="001B4C74"/>
    <w:rsid w:val="001C1C59"/>
    <w:rsid w:val="001C47DB"/>
    <w:rsid w:val="001C6882"/>
    <w:rsid w:val="001C6B21"/>
    <w:rsid w:val="001C75DC"/>
    <w:rsid w:val="001D047C"/>
    <w:rsid w:val="001D1F0B"/>
    <w:rsid w:val="001E6C08"/>
    <w:rsid w:val="001F0529"/>
    <w:rsid w:val="001F0C75"/>
    <w:rsid w:val="00204B58"/>
    <w:rsid w:val="002052D6"/>
    <w:rsid w:val="002165F0"/>
    <w:rsid w:val="00225686"/>
    <w:rsid w:val="002348A7"/>
    <w:rsid w:val="002350AD"/>
    <w:rsid w:val="00241D90"/>
    <w:rsid w:val="0024313B"/>
    <w:rsid w:val="002448DC"/>
    <w:rsid w:val="00254F56"/>
    <w:rsid w:val="00255EC5"/>
    <w:rsid w:val="002634AD"/>
    <w:rsid w:val="0027142C"/>
    <w:rsid w:val="00272F2E"/>
    <w:rsid w:val="002839CD"/>
    <w:rsid w:val="00291AAB"/>
    <w:rsid w:val="0029353F"/>
    <w:rsid w:val="00294969"/>
    <w:rsid w:val="002A0B84"/>
    <w:rsid w:val="002A1711"/>
    <w:rsid w:val="002A238E"/>
    <w:rsid w:val="002A4EE8"/>
    <w:rsid w:val="002B0371"/>
    <w:rsid w:val="002B0AC6"/>
    <w:rsid w:val="002B75ED"/>
    <w:rsid w:val="002B7BAF"/>
    <w:rsid w:val="002C2187"/>
    <w:rsid w:val="002D7EE0"/>
    <w:rsid w:val="002E3980"/>
    <w:rsid w:val="002F29FA"/>
    <w:rsid w:val="002F52C7"/>
    <w:rsid w:val="002F62A7"/>
    <w:rsid w:val="002F7925"/>
    <w:rsid w:val="0030417C"/>
    <w:rsid w:val="00305DBF"/>
    <w:rsid w:val="00307687"/>
    <w:rsid w:val="00341F31"/>
    <w:rsid w:val="003468A3"/>
    <w:rsid w:val="003507EC"/>
    <w:rsid w:val="00353D0D"/>
    <w:rsid w:val="00355E52"/>
    <w:rsid w:val="003621D8"/>
    <w:rsid w:val="00364F2D"/>
    <w:rsid w:val="00371240"/>
    <w:rsid w:val="003857EC"/>
    <w:rsid w:val="00387A9A"/>
    <w:rsid w:val="003A56A6"/>
    <w:rsid w:val="003B1307"/>
    <w:rsid w:val="003B291B"/>
    <w:rsid w:val="003B2B19"/>
    <w:rsid w:val="003B2EC1"/>
    <w:rsid w:val="003C0510"/>
    <w:rsid w:val="003C0B2A"/>
    <w:rsid w:val="003C17C3"/>
    <w:rsid w:val="003C63A4"/>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203"/>
    <w:rsid w:val="00443433"/>
    <w:rsid w:val="0044439B"/>
    <w:rsid w:val="0044605D"/>
    <w:rsid w:val="00447D18"/>
    <w:rsid w:val="00453D2E"/>
    <w:rsid w:val="00461B4A"/>
    <w:rsid w:val="0046553C"/>
    <w:rsid w:val="004659FC"/>
    <w:rsid w:val="00475B7A"/>
    <w:rsid w:val="00477419"/>
    <w:rsid w:val="0049241C"/>
    <w:rsid w:val="00494475"/>
    <w:rsid w:val="00494CCD"/>
    <w:rsid w:val="004959F1"/>
    <w:rsid w:val="004B108C"/>
    <w:rsid w:val="004B36D0"/>
    <w:rsid w:val="004D0A9F"/>
    <w:rsid w:val="004D6CED"/>
    <w:rsid w:val="004E1846"/>
    <w:rsid w:val="004E264D"/>
    <w:rsid w:val="004E7FA1"/>
    <w:rsid w:val="004F1FFA"/>
    <w:rsid w:val="004F21B4"/>
    <w:rsid w:val="004F2733"/>
    <w:rsid w:val="00501C6F"/>
    <w:rsid w:val="00520247"/>
    <w:rsid w:val="005467F9"/>
    <w:rsid w:val="00546DF8"/>
    <w:rsid w:val="005676C9"/>
    <w:rsid w:val="005730E0"/>
    <w:rsid w:val="0059261E"/>
    <w:rsid w:val="005961E9"/>
    <w:rsid w:val="005963C3"/>
    <w:rsid w:val="005A2AE9"/>
    <w:rsid w:val="005B0CAE"/>
    <w:rsid w:val="005B2EE2"/>
    <w:rsid w:val="005D4BB1"/>
    <w:rsid w:val="005E4F17"/>
    <w:rsid w:val="00600687"/>
    <w:rsid w:val="00602E4D"/>
    <w:rsid w:val="006058A6"/>
    <w:rsid w:val="00606769"/>
    <w:rsid w:val="0060750A"/>
    <w:rsid w:val="00617DAF"/>
    <w:rsid w:val="006203A6"/>
    <w:rsid w:val="00622D18"/>
    <w:rsid w:val="00624885"/>
    <w:rsid w:val="00627850"/>
    <w:rsid w:val="00666F1F"/>
    <w:rsid w:val="0067570A"/>
    <w:rsid w:val="006913C2"/>
    <w:rsid w:val="00696010"/>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C14"/>
    <w:rsid w:val="007C259F"/>
    <w:rsid w:val="007C30CF"/>
    <w:rsid w:val="007D2AA9"/>
    <w:rsid w:val="007E0F1E"/>
    <w:rsid w:val="007E4195"/>
    <w:rsid w:val="007E78C6"/>
    <w:rsid w:val="007F1B51"/>
    <w:rsid w:val="007F4BA7"/>
    <w:rsid w:val="00814A30"/>
    <w:rsid w:val="00823D7D"/>
    <w:rsid w:val="00831D06"/>
    <w:rsid w:val="00832FD6"/>
    <w:rsid w:val="008371CE"/>
    <w:rsid w:val="008403CE"/>
    <w:rsid w:val="008465EB"/>
    <w:rsid w:val="008A441A"/>
    <w:rsid w:val="008A584B"/>
    <w:rsid w:val="008B6D52"/>
    <w:rsid w:val="008C1FC2"/>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A05ACD"/>
    <w:rsid w:val="00A06097"/>
    <w:rsid w:val="00A20941"/>
    <w:rsid w:val="00A24350"/>
    <w:rsid w:val="00A268CE"/>
    <w:rsid w:val="00A44AD9"/>
    <w:rsid w:val="00A5436A"/>
    <w:rsid w:val="00A6309C"/>
    <w:rsid w:val="00AA21CE"/>
    <w:rsid w:val="00AA468F"/>
    <w:rsid w:val="00AA7DFB"/>
    <w:rsid w:val="00AB0CAD"/>
    <w:rsid w:val="00AB5841"/>
    <w:rsid w:val="00AC3410"/>
    <w:rsid w:val="00AE15C5"/>
    <w:rsid w:val="00AE58D1"/>
    <w:rsid w:val="00B00773"/>
    <w:rsid w:val="00B1051B"/>
    <w:rsid w:val="00B111EE"/>
    <w:rsid w:val="00B26C4B"/>
    <w:rsid w:val="00B276E1"/>
    <w:rsid w:val="00B36E03"/>
    <w:rsid w:val="00B40560"/>
    <w:rsid w:val="00B40970"/>
    <w:rsid w:val="00B41AD7"/>
    <w:rsid w:val="00B4631F"/>
    <w:rsid w:val="00B46515"/>
    <w:rsid w:val="00B54432"/>
    <w:rsid w:val="00B56487"/>
    <w:rsid w:val="00B654B1"/>
    <w:rsid w:val="00B66A52"/>
    <w:rsid w:val="00B701CD"/>
    <w:rsid w:val="00B74B1A"/>
    <w:rsid w:val="00B8085B"/>
    <w:rsid w:val="00B80A3F"/>
    <w:rsid w:val="00B85FF8"/>
    <w:rsid w:val="00BB26B2"/>
    <w:rsid w:val="00BB56FC"/>
    <w:rsid w:val="00BC4812"/>
    <w:rsid w:val="00BC5DEF"/>
    <w:rsid w:val="00BD3DFE"/>
    <w:rsid w:val="00BE3389"/>
    <w:rsid w:val="00BE76F0"/>
    <w:rsid w:val="00BE7735"/>
    <w:rsid w:val="00BF7A8B"/>
    <w:rsid w:val="00C06C6B"/>
    <w:rsid w:val="00C27195"/>
    <w:rsid w:val="00C34DA1"/>
    <w:rsid w:val="00C413B0"/>
    <w:rsid w:val="00C47AA3"/>
    <w:rsid w:val="00C66243"/>
    <w:rsid w:val="00C66B85"/>
    <w:rsid w:val="00C74DBA"/>
    <w:rsid w:val="00C77D40"/>
    <w:rsid w:val="00C87714"/>
    <w:rsid w:val="00C924D0"/>
    <w:rsid w:val="00C959E3"/>
    <w:rsid w:val="00CA1461"/>
    <w:rsid w:val="00CA4770"/>
    <w:rsid w:val="00CB0296"/>
    <w:rsid w:val="00CC208F"/>
    <w:rsid w:val="00CC465F"/>
    <w:rsid w:val="00CD2D4F"/>
    <w:rsid w:val="00CD570A"/>
    <w:rsid w:val="00CD6510"/>
    <w:rsid w:val="00CE08F9"/>
    <w:rsid w:val="00CE2808"/>
    <w:rsid w:val="00CE3DDF"/>
    <w:rsid w:val="00CE5FE7"/>
    <w:rsid w:val="00CF6E01"/>
    <w:rsid w:val="00D002CC"/>
    <w:rsid w:val="00D00434"/>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54F0A"/>
    <w:rsid w:val="00D651E2"/>
    <w:rsid w:val="00D71C5B"/>
    <w:rsid w:val="00D73CAB"/>
    <w:rsid w:val="00D80126"/>
    <w:rsid w:val="00D85A62"/>
    <w:rsid w:val="00D9232A"/>
    <w:rsid w:val="00D95DF7"/>
    <w:rsid w:val="00DA0D23"/>
    <w:rsid w:val="00DA3389"/>
    <w:rsid w:val="00DA53D8"/>
    <w:rsid w:val="00DC018D"/>
    <w:rsid w:val="00DC57D8"/>
    <w:rsid w:val="00DC5A83"/>
    <w:rsid w:val="00DC6B9D"/>
    <w:rsid w:val="00DD2339"/>
    <w:rsid w:val="00DD3D05"/>
    <w:rsid w:val="00DE3441"/>
    <w:rsid w:val="00DF10B2"/>
    <w:rsid w:val="00E00EB8"/>
    <w:rsid w:val="00E01B4E"/>
    <w:rsid w:val="00E04243"/>
    <w:rsid w:val="00E076EC"/>
    <w:rsid w:val="00E22E12"/>
    <w:rsid w:val="00E25B9A"/>
    <w:rsid w:val="00E2689E"/>
    <w:rsid w:val="00E26AC3"/>
    <w:rsid w:val="00E26CAC"/>
    <w:rsid w:val="00E36B9C"/>
    <w:rsid w:val="00E466D1"/>
    <w:rsid w:val="00E66064"/>
    <w:rsid w:val="00E66E58"/>
    <w:rsid w:val="00E70F3B"/>
    <w:rsid w:val="00E74E98"/>
    <w:rsid w:val="00E8025D"/>
    <w:rsid w:val="00E85FFB"/>
    <w:rsid w:val="00E86C69"/>
    <w:rsid w:val="00E87AE2"/>
    <w:rsid w:val="00E913CF"/>
    <w:rsid w:val="00E92E10"/>
    <w:rsid w:val="00E9574D"/>
    <w:rsid w:val="00EA5C44"/>
    <w:rsid w:val="00EB2A9E"/>
    <w:rsid w:val="00EC3F6E"/>
    <w:rsid w:val="00ED3441"/>
    <w:rsid w:val="00EE770A"/>
    <w:rsid w:val="00F1286E"/>
    <w:rsid w:val="00F151EE"/>
    <w:rsid w:val="00F3505C"/>
    <w:rsid w:val="00F426E2"/>
    <w:rsid w:val="00F5116F"/>
    <w:rsid w:val="00F63A83"/>
    <w:rsid w:val="00F66AC9"/>
    <w:rsid w:val="00F718A5"/>
    <w:rsid w:val="00F751CF"/>
    <w:rsid w:val="00F8078A"/>
    <w:rsid w:val="00F813C9"/>
    <w:rsid w:val="00F83177"/>
    <w:rsid w:val="00F90CA2"/>
    <w:rsid w:val="00F954A7"/>
    <w:rsid w:val="00F964FC"/>
    <w:rsid w:val="00F977A0"/>
    <w:rsid w:val="00FA7A3A"/>
    <w:rsid w:val="00FB09BB"/>
    <w:rsid w:val="00FB0D5B"/>
    <w:rsid w:val="00FB576C"/>
    <w:rsid w:val="00FB5F0B"/>
    <w:rsid w:val="00FC6BBF"/>
    <w:rsid w:val="00FD30F9"/>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35967</Words>
  <Characters>205016</Characters>
  <Application>Microsoft Office Word</Application>
  <DocSecurity>0</DocSecurity>
  <Lines>1708</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16</cp:revision>
  <dcterms:created xsi:type="dcterms:W3CDTF">2021-03-03T16:38:00Z</dcterms:created>
  <dcterms:modified xsi:type="dcterms:W3CDTF">2021-03-03T18:11:00Z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http://www.zotero.org/styles/ecology</vt:lpwstr>
  </property>
  <property fmtid="{D5CDD505-2E9C-101B-9397-08002B2CF9AE}" pid="24" name="Mendeley Unique User Id_1">
    <vt:lpwstr>2f10fa0e-9672-34ce-b1a5-510ee9349f87</vt:lpwstr>
  </property>
</Properties>
</file>