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82B0" w14:textId="77777777" w:rsidR="00D0399A" w:rsidRDefault="00B701CD" w:rsidP="00DE5902">
      <w:pPr>
        <w:spacing w:line="360" w:lineRule="auto"/>
        <w:rPr>
          <w:rFonts w:ascii="Times New Roman" w:hAnsi="Times New Roman" w:cs="Times New Roman"/>
        </w:rPr>
      </w:pPr>
      <w:r w:rsidRPr="00D0399A">
        <w:rPr>
          <w:rFonts w:ascii="Times New Roman" w:hAnsi="Times New Roman" w:cs="Times New Roman"/>
          <w:b/>
          <w:bCs/>
        </w:rPr>
        <w:t>Title</w:t>
      </w:r>
    </w:p>
    <w:p w14:paraId="47340811" w14:textId="62263CD4" w:rsidR="00125031" w:rsidRDefault="00125031" w:rsidP="00DE5902">
      <w:pPr>
        <w:spacing w:line="360" w:lineRule="auto"/>
        <w:rPr>
          <w:rFonts w:ascii="Times New Roman" w:hAnsi="Times New Roman" w:cs="Times New Roman"/>
        </w:rPr>
      </w:pPr>
      <w:r>
        <w:rPr>
          <w:rFonts w:ascii="Times New Roman" w:hAnsi="Times New Roman" w:cs="Times New Roman"/>
        </w:rPr>
        <w:t xml:space="preserve">Predator-prey interactions of terrestrial invertebrates are determined by predator body size and species identity </w:t>
      </w:r>
    </w:p>
    <w:p w14:paraId="0A34076E" w14:textId="77777777" w:rsidR="00D0399A" w:rsidRDefault="00D0399A" w:rsidP="00DE5902">
      <w:pPr>
        <w:spacing w:line="360" w:lineRule="auto"/>
        <w:rPr>
          <w:rFonts w:ascii="Times New Roman" w:hAnsi="Times New Roman" w:cs="Times New Roman"/>
          <w:b/>
          <w:bCs/>
        </w:rPr>
      </w:pPr>
    </w:p>
    <w:p w14:paraId="0BD2A9F0" w14:textId="0BA669C3" w:rsidR="00B701CD" w:rsidRPr="008F5AB2" w:rsidRDefault="00B701CD" w:rsidP="00DE5902">
      <w:pPr>
        <w:spacing w:line="360" w:lineRule="auto"/>
        <w:rPr>
          <w:rFonts w:ascii="Times New Roman" w:hAnsi="Times New Roman" w:cs="Times New Roman"/>
        </w:rPr>
      </w:pPr>
      <w:r w:rsidRPr="00B701CD">
        <w:rPr>
          <w:rFonts w:ascii="Times New Roman" w:hAnsi="Times New Roman" w:cs="Times New Roman"/>
          <w:b/>
          <w:bCs/>
        </w:rPr>
        <w:t>Abstract</w:t>
      </w:r>
    </w:p>
    <w:p w14:paraId="0263EED5" w14:textId="77777777"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Predator-prey interactions are shaped by a combination of predator </w:t>
      </w:r>
      <w:r w:rsidR="00494475" w:rsidRPr="008F5AB2">
        <w:rPr>
          <w:rFonts w:ascii="Times New Roman" w:hAnsi="Times New Roman" w:cs="Times New Roman"/>
        </w:rPr>
        <w:t>traits</w:t>
      </w:r>
      <w:r w:rsidRPr="008F5AB2">
        <w:rPr>
          <w:rFonts w:ascii="Times New Roman" w:hAnsi="Times New Roman" w:cs="Times New Roman"/>
        </w:rPr>
        <w:t>, including body size</w:t>
      </w:r>
      <w:r w:rsidR="005B2EE2" w:rsidRPr="008F5AB2">
        <w:rPr>
          <w:rFonts w:ascii="Times New Roman" w:hAnsi="Times New Roman" w:cs="Times New Roman"/>
        </w:rPr>
        <w:t xml:space="preserve"> and </w:t>
      </w:r>
      <w:r w:rsidR="00D022A9" w:rsidRPr="008F5AB2">
        <w:rPr>
          <w:rFonts w:ascii="Times New Roman" w:hAnsi="Times New Roman" w:cs="Times New Roman"/>
        </w:rPr>
        <w:t>hunting strateg</w:t>
      </w:r>
      <w:r w:rsidR="00402708" w:rsidRPr="008F5AB2">
        <w:rPr>
          <w:rFonts w:ascii="Times New Roman" w:hAnsi="Times New Roman" w:cs="Times New Roman"/>
        </w:rPr>
        <w:t>y</w:t>
      </w:r>
      <w:r w:rsidRPr="008F5AB2">
        <w:rPr>
          <w:rFonts w:ascii="Times New Roman" w:hAnsi="Times New Roman" w:cs="Times New Roman"/>
        </w:rPr>
        <w:t xml:space="preserve">. </w:t>
      </w:r>
      <w:r w:rsidR="00402708" w:rsidRPr="008F5AB2">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sidRPr="008F5AB2">
        <w:rPr>
          <w:rFonts w:ascii="Times New Roman" w:hAnsi="Times New Roman" w:cs="Times New Roman"/>
        </w:rPr>
        <w:t xml:space="preserve"> </w:t>
      </w:r>
    </w:p>
    <w:p w14:paraId="25023472" w14:textId="29D999B9"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In this study, we </w:t>
      </w:r>
      <w:r w:rsidR="002B0AC6" w:rsidRPr="008F5AB2">
        <w:rPr>
          <w:rFonts w:ascii="Times New Roman" w:hAnsi="Times New Roman" w:cs="Times New Roman"/>
        </w:rPr>
        <w:t>combined</w:t>
      </w:r>
      <w:r w:rsidRPr="008F5AB2">
        <w:rPr>
          <w:rFonts w:ascii="Times New Roman" w:hAnsi="Times New Roman" w:cs="Times New Roman"/>
        </w:rPr>
        <w:t xml:space="preserve"> diet DNA metabarcoding </w:t>
      </w:r>
      <w:r w:rsidR="002B0AC6" w:rsidRPr="008F5AB2">
        <w:rPr>
          <w:rFonts w:ascii="Times New Roman" w:hAnsi="Times New Roman" w:cs="Times New Roman"/>
        </w:rPr>
        <w:t xml:space="preserve">data </w:t>
      </w:r>
      <w:r w:rsidR="00B26C4B" w:rsidRPr="008F5AB2">
        <w:rPr>
          <w:rFonts w:ascii="Times New Roman" w:hAnsi="Times New Roman" w:cs="Times New Roman"/>
        </w:rPr>
        <w:t xml:space="preserve">of </w:t>
      </w:r>
      <w:r w:rsidRPr="008F5AB2">
        <w:rPr>
          <w:rFonts w:ascii="Times New Roman" w:hAnsi="Times New Roman" w:cs="Times New Roman"/>
        </w:rPr>
        <w:t>1</w:t>
      </w:r>
      <w:r w:rsidR="00C555DF" w:rsidRPr="008F5AB2">
        <w:rPr>
          <w:rFonts w:ascii="Times New Roman" w:hAnsi="Times New Roman" w:cs="Times New Roman"/>
        </w:rPr>
        <w:t>7</w:t>
      </w:r>
      <w:r w:rsidR="003B21BA" w:rsidRPr="008F5AB2">
        <w:rPr>
          <w:rFonts w:ascii="Times New Roman" w:hAnsi="Times New Roman" w:cs="Times New Roman"/>
        </w:rPr>
        <w:t xml:space="preserve">3 </w:t>
      </w:r>
      <w:r w:rsidRPr="008F5AB2">
        <w:rPr>
          <w:rFonts w:ascii="Times New Roman" w:hAnsi="Times New Roman" w:cs="Times New Roman"/>
        </w:rPr>
        <w:t xml:space="preserve">individual invertebrate predators </w:t>
      </w:r>
      <w:r w:rsidR="002B0AC6" w:rsidRPr="008F5AB2">
        <w:rPr>
          <w:rFonts w:ascii="Times New Roman" w:hAnsi="Times New Roman" w:cs="Times New Roman"/>
        </w:rPr>
        <w:t>from</w:t>
      </w:r>
      <w:r w:rsidRPr="008F5AB2">
        <w:rPr>
          <w:rFonts w:ascii="Times New Roman" w:hAnsi="Times New Roman" w:cs="Times New Roman"/>
        </w:rPr>
        <w:t xml:space="preserve"> nine species </w:t>
      </w:r>
      <w:r w:rsidR="00494475" w:rsidRPr="008F5AB2">
        <w:rPr>
          <w:rFonts w:ascii="Times New Roman" w:hAnsi="Times New Roman" w:cs="Times New Roman"/>
        </w:rPr>
        <w:t>with</w:t>
      </w:r>
      <w:r w:rsidRPr="008F5AB2">
        <w:rPr>
          <w:rFonts w:ascii="Times New Roman" w:hAnsi="Times New Roman" w:cs="Times New Roman"/>
        </w:rPr>
        <w:t xml:space="preserve"> </w:t>
      </w:r>
      <w:r w:rsidR="00402708" w:rsidRPr="008F5AB2">
        <w:rPr>
          <w:rFonts w:ascii="Times New Roman" w:hAnsi="Times New Roman" w:cs="Times New Roman"/>
        </w:rPr>
        <w:t xml:space="preserve">community body size </w:t>
      </w:r>
      <w:r w:rsidRPr="008F5AB2">
        <w:rPr>
          <w:rFonts w:ascii="Times New Roman" w:hAnsi="Times New Roman" w:cs="Times New Roman"/>
        </w:rPr>
        <w:t>data</w:t>
      </w:r>
      <w:r w:rsidR="002B0AC6" w:rsidRPr="008F5AB2">
        <w:rPr>
          <w:rFonts w:ascii="Times New Roman" w:hAnsi="Times New Roman" w:cs="Times New Roman"/>
        </w:rPr>
        <w:t xml:space="preserve"> to explore how predator</w:t>
      </w:r>
      <w:r w:rsidR="00B26C4B" w:rsidRPr="008F5AB2">
        <w:rPr>
          <w:rFonts w:ascii="Times New Roman" w:hAnsi="Times New Roman" w:cs="Times New Roman"/>
        </w:rPr>
        <w:t xml:space="preserve"> </w:t>
      </w:r>
      <w:r w:rsidR="00494475" w:rsidRPr="008F5AB2">
        <w:rPr>
          <w:rFonts w:ascii="Times New Roman" w:hAnsi="Times New Roman" w:cs="Times New Roman"/>
        </w:rPr>
        <w:t>traits</w:t>
      </w:r>
      <w:r w:rsidR="002B0AC6" w:rsidRPr="008F5AB2">
        <w:rPr>
          <w:rFonts w:ascii="Times New Roman" w:hAnsi="Times New Roman" w:cs="Times New Roman"/>
        </w:rPr>
        <w:t xml:space="preserve"> </w:t>
      </w:r>
      <w:r w:rsidR="00065551">
        <w:rPr>
          <w:rFonts w:ascii="Times New Roman" w:hAnsi="Times New Roman" w:cs="Times New Roman"/>
        </w:rPr>
        <w:t xml:space="preserve">and identity </w:t>
      </w:r>
      <w:r w:rsidR="002B0AC6" w:rsidRPr="008F5AB2">
        <w:rPr>
          <w:rFonts w:ascii="Times New Roman" w:hAnsi="Times New Roman" w:cs="Times New Roman"/>
        </w:rPr>
        <w:t>shape interactions</w:t>
      </w:r>
      <w:r w:rsidRPr="008F5AB2">
        <w:rPr>
          <w:rFonts w:ascii="Times New Roman" w:hAnsi="Times New Roman" w:cs="Times New Roman"/>
        </w:rPr>
        <w:t xml:space="preserve">. </w:t>
      </w:r>
      <w:r w:rsidR="00065551">
        <w:rPr>
          <w:rFonts w:ascii="Times New Roman" w:hAnsi="Times New Roman" w:cs="Times New Roman"/>
        </w:rPr>
        <w:t>This dataset includes a total of 305 predator-prey interactions.</w:t>
      </w:r>
    </w:p>
    <w:p w14:paraId="70E6694B" w14:textId="07D75EC2" w:rsidR="008A6DE1" w:rsidRDefault="00065551" w:rsidP="00DE5902">
      <w:pPr>
        <w:pStyle w:val="ListParagraph"/>
        <w:numPr>
          <w:ilvl w:val="0"/>
          <w:numId w:val="7"/>
        </w:numPr>
        <w:spacing w:line="360" w:lineRule="auto"/>
        <w:rPr>
          <w:rFonts w:ascii="Times New Roman" w:hAnsi="Times New Roman" w:cs="Times New Roman"/>
        </w:rPr>
      </w:pPr>
      <w:r w:rsidRPr="00065551">
        <w:rPr>
          <w:rFonts w:ascii="Times New Roman" w:hAnsi="Times New Roman" w:cs="Times New Roman"/>
        </w:rPr>
        <w:t>W</w:t>
      </w:r>
      <w:r w:rsidR="00402708" w:rsidRPr="00065551">
        <w:rPr>
          <w:rFonts w:ascii="Times New Roman" w:hAnsi="Times New Roman" w:cs="Times New Roman"/>
        </w:rPr>
        <w:t>e</w:t>
      </w:r>
      <w:r w:rsidR="00B26C4B" w:rsidRPr="00065551">
        <w:rPr>
          <w:rFonts w:ascii="Times New Roman" w:hAnsi="Times New Roman" w:cs="Times New Roman"/>
        </w:rPr>
        <w:t xml:space="preserve"> found</w:t>
      </w:r>
      <w:r w:rsidR="007D2AA9" w:rsidRPr="00065551">
        <w:rPr>
          <w:rFonts w:ascii="Times New Roman" w:hAnsi="Times New Roman" w:cs="Times New Roman"/>
        </w:rPr>
        <w:t xml:space="preserve"> </w:t>
      </w:r>
      <w:r w:rsidR="008A584B" w:rsidRPr="00065551">
        <w:rPr>
          <w:rFonts w:ascii="Times New Roman" w:hAnsi="Times New Roman" w:cs="Times New Roman"/>
        </w:rPr>
        <w:t xml:space="preserve">that </w:t>
      </w:r>
      <w:r w:rsidR="007D2AA9" w:rsidRPr="00065551">
        <w:rPr>
          <w:rFonts w:ascii="Times New Roman" w:hAnsi="Times New Roman" w:cs="Times New Roman"/>
        </w:rPr>
        <w:t xml:space="preserve">1) </w:t>
      </w:r>
      <w:r w:rsidR="00B26C4B" w:rsidRPr="00065551">
        <w:rPr>
          <w:rFonts w:ascii="Times New Roman" w:hAnsi="Times New Roman" w:cs="Times New Roman"/>
        </w:rPr>
        <w:t xml:space="preserve">prey size scales with predator size, with species-specific </w:t>
      </w:r>
      <w:r w:rsidR="002B0AC6" w:rsidRPr="00065551">
        <w:rPr>
          <w:rFonts w:ascii="Times New Roman" w:hAnsi="Times New Roman" w:cs="Times New Roman"/>
        </w:rPr>
        <w:t>variation</w:t>
      </w:r>
      <w:r w:rsidR="002E3980" w:rsidRPr="00065551">
        <w:rPr>
          <w:rFonts w:ascii="Times New Roman" w:hAnsi="Times New Roman" w:cs="Times New Roman"/>
        </w:rPr>
        <w:t xml:space="preserve"> to a general </w:t>
      </w:r>
      <w:r w:rsidR="008A584B" w:rsidRPr="00065551">
        <w:rPr>
          <w:rFonts w:ascii="Times New Roman" w:hAnsi="Times New Roman" w:cs="Times New Roman"/>
        </w:rPr>
        <w:t xml:space="preserve">size </w:t>
      </w:r>
      <w:r w:rsidR="002E3980" w:rsidRPr="00065551">
        <w:rPr>
          <w:rFonts w:ascii="Times New Roman" w:hAnsi="Times New Roman" w:cs="Times New Roman"/>
        </w:rPr>
        <w:t>scaling relationship</w:t>
      </w:r>
      <w:r w:rsidR="008306A9">
        <w:rPr>
          <w:rFonts w:ascii="Times New Roman" w:hAnsi="Times New Roman" w:cs="Times New Roman"/>
        </w:rPr>
        <w:t>. We also found that</w:t>
      </w:r>
      <w:r w:rsidR="00B26C4B" w:rsidRPr="00065551">
        <w:rPr>
          <w:rFonts w:ascii="Times New Roman" w:hAnsi="Times New Roman" w:cs="Times New Roman"/>
        </w:rPr>
        <w:t xml:space="preserve"> 2</w:t>
      </w:r>
      <w:r w:rsidR="002B0AC6" w:rsidRPr="00065551">
        <w:rPr>
          <w:rFonts w:ascii="Times New Roman" w:hAnsi="Times New Roman" w:cs="Times New Roman"/>
        </w:rPr>
        <w:t xml:space="preserve">) </w:t>
      </w:r>
      <w:r w:rsidR="008F5AB2" w:rsidRPr="00065551">
        <w:rPr>
          <w:rFonts w:ascii="Times New Roman" w:hAnsi="Times New Roman" w:cs="Times New Roman"/>
        </w:rPr>
        <w:t xml:space="preserve">while predator hunting traits, including web </w:t>
      </w:r>
      <w:r w:rsidR="008A6DE1">
        <w:rPr>
          <w:rFonts w:ascii="Times New Roman" w:hAnsi="Times New Roman" w:cs="Times New Roman"/>
        </w:rPr>
        <w:t xml:space="preserve">and venom </w:t>
      </w:r>
      <w:r w:rsidR="008F5AB2" w:rsidRPr="00065551">
        <w:rPr>
          <w:rFonts w:ascii="Times New Roman" w:hAnsi="Times New Roman" w:cs="Times New Roman"/>
        </w:rPr>
        <w:t xml:space="preserve">use, are </w:t>
      </w:r>
      <w:r w:rsidR="008A6DE1">
        <w:rPr>
          <w:rFonts w:ascii="Times New Roman" w:hAnsi="Times New Roman" w:cs="Times New Roman"/>
        </w:rPr>
        <w:t>thought</w:t>
      </w:r>
      <w:r w:rsidR="008F5AB2" w:rsidRPr="00065551">
        <w:rPr>
          <w:rFonts w:ascii="Times New Roman" w:hAnsi="Times New Roman" w:cs="Times New Roman"/>
        </w:rPr>
        <w:t xml:space="preserve"> to shape predator</w:t>
      </w:r>
      <w:r w:rsidR="002F74A7">
        <w:rPr>
          <w:rFonts w:ascii="Times New Roman" w:hAnsi="Times New Roman" w:cs="Times New Roman"/>
        </w:rPr>
        <w:t>-</w:t>
      </w:r>
      <w:r w:rsidR="008F5AB2" w:rsidRPr="00065551">
        <w:rPr>
          <w:rFonts w:ascii="Times New Roman" w:hAnsi="Times New Roman" w:cs="Times New Roman"/>
        </w:rPr>
        <w:t>prey interaction outcomes,</w:t>
      </w:r>
      <w:r w:rsidR="004B4259" w:rsidRPr="00065551">
        <w:rPr>
          <w:rFonts w:ascii="Times New Roman" w:hAnsi="Times New Roman" w:cs="Times New Roman"/>
        </w:rPr>
        <w:t xml:space="preserve"> </w:t>
      </w:r>
      <w:r w:rsidR="008A6DE1">
        <w:rPr>
          <w:rFonts w:ascii="Times New Roman" w:hAnsi="Times New Roman" w:cs="Times New Roman"/>
        </w:rPr>
        <w:t xml:space="preserve">predator species identity more strongly influences </w:t>
      </w:r>
      <w:r w:rsidR="002F74A7">
        <w:rPr>
          <w:rFonts w:ascii="Times New Roman" w:hAnsi="Times New Roman" w:cs="Times New Roman"/>
        </w:rPr>
        <w:t xml:space="preserve">the </w:t>
      </w:r>
      <w:r w:rsidR="008A6DE1">
        <w:rPr>
          <w:rFonts w:ascii="Times New Roman" w:hAnsi="Times New Roman" w:cs="Times New Roman"/>
        </w:rPr>
        <w:t>relative size of predators and prey (</w:t>
      </w:r>
      <w:proofErr w:type="spellStart"/>
      <w:r w:rsidR="008A6DE1">
        <w:rPr>
          <w:rFonts w:ascii="Times New Roman" w:hAnsi="Times New Roman" w:cs="Times New Roman"/>
        </w:rPr>
        <w:t>predator:prey</w:t>
      </w:r>
      <w:proofErr w:type="spellEnd"/>
      <w:r w:rsidR="008A6DE1">
        <w:rPr>
          <w:rFonts w:ascii="Times New Roman" w:hAnsi="Times New Roman" w:cs="Times New Roman"/>
        </w:rPr>
        <w:t xml:space="preserve"> size ratios)  than either of these hunting traits.</w:t>
      </w:r>
    </w:p>
    <w:p w14:paraId="2CC6584E" w14:textId="0AECBD5B" w:rsidR="007D2AA9" w:rsidRPr="008F5AB2" w:rsidRDefault="002B0AC6"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Our findings</w:t>
      </w:r>
      <w:r w:rsidR="00D54F0A" w:rsidRPr="008F5AB2">
        <w:rPr>
          <w:rFonts w:ascii="Times New Roman" w:hAnsi="Times New Roman" w:cs="Times New Roman"/>
        </w:rPr>
        <w:t xml:space="preserve"> indicate that predator</w:t>
      </w:r>
      <w:r w:rsidR="00CA1E4C">
        <w:rPr>
          <w:rFonts w:ascii="Times New Roman" w:hAnsi="Times New Roman" w:cs="Times New Roman"/>
        </w:rPr>
        <w:t xml:space="preserve"> </w:t>
      </w:r>
      <w:r w:rsidR="008A6DE1">
        <w:rPr>
          <w:rFonts w:ascii="Times New Roman" w:hAnsi="Times New Roman" w:cs="Times New Roman"/>
        </w:rPr>
        <w:t>body size</w:t>
      </w:r>
      <w:r w:rsidR="004B4259">
        <w:rPr>
          <w:rFonts w:ascii="Times New Roman" w:hAnsi="Times New Roman" w:cs="Times New Roman"/>
        </w:rPr>
        <w:t xml:space="preserve"> and species identity</w:t>
      </w:r>
      <w:r w:rsidR="00D54F0A" w:rsidRPr="008F5AB2">
        <w:rPr>
          <w:rFonts w:ascii="Times New Roman" w:hAnsi="Times New Roman" w:cs="Times New Roman"/>
        </w:rPr>
        <w:t xml:space="preserve"> are important in shaping trophic interactions in</w:t>
      </w:r>
      <w:r w:rsidRPr="008F5AB2">
        <w:rPr>
          <w:rFonts w:ascii="Times New Roman" w:hAnsi="Times New Roman" w:cs="Times New Roman"/>
        </w:rPr>
        <w:t xml:space="preserve"> invertebrate food webs and </w:t>
      </w:r>
      <w:r w:rsidR="00402708" w:rsidRPr="008F5AB2">
        <w:rPr>
          <w:rFonts w:ascii="Times New Roman" w:hAnsi="Times New Roman" w:cs="Times New Roman"/>
        </w:rPr>
        <w:t>could help predict</w:t>
      </w:r>
      <w:r w:rsidRPr="008F5AB2">
        <w:rPr>
          <w:rFonts w:ascii="Times New Roman" w:hAnsi="Times New Roman" w:cs="Times New Roman"/>
        </w:rPr>
        <w:t xml:space="preserve"> how anthropogenic biodiversity change will influence terrestrial invertebrates, the earth’s most diverse and biomass-dominant </w:t>
      </w:r>
      <w:r w:rsidR="004D3EE5" w:rsidRPr="008F5AB2">
        <w:rPr>
          <w:rFonts w:ascii="Times New Roman" w:hAnsi="Times New Roman" w:cs="Times New Roman"/>
        </w:rPr>
        <w:t xml:space="preserve">animal </w:t>
      </w:r>
      <w:r w:rsidRPr="008F5AB2">
        <w:rPr>
          <w:rFonts w:ascii="Times New Roman" w:hAnsi="Times New Roman" w:cs="Times New Roman"/>
        </w:rPr>
        <w:t xml:space="preserve">taxonomic group. </w:t>
      </w:r>
    </w:p>
    <w:p w14:paraId="651BFE58" w14:textId="77777777" w:rsidR="007D2AA9" w:rsidRPr="007D2AA9" w:rsidRDefault="007D2AA9" w:rsidP="00DE5902">
      <w:pPr>
        <w:spacing w:line="360" w:lineRule="auto"/>
        <w:rPr>
          <w:rFonts w:ascii="Times New Roman" w:hAnsi="Times New Roman" w:cs="Times New Roman"/>
        </w:rPr>
      </w:pPr>
    </w:p>
    <w:p w14:paraId="23AAC0B1" w14:textId="3E9AB58B" w:rsidR="00B701CD" w:rsidRDefault="00B701CD" w:rsidP="00DE5902">
      <w:pPr>
        <w:spacing w:line="36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1AE3E997" w:rsidR="002B0AC6" w:rsidRPr="002B0AC6" w:rsidRDefault="002103A0" w:rsidP="00DE5902">
      <w:pPr>
        <w:spacing w:line="360" w:lineRule="auto"/>
        <w:rPr>
          <w:rFonts w:ascii="Times New Roman" w:hAnsi="Times New Roman" w:cs="Times New Roman"/>
        </w:rPr>
      </w:pPr>
      <w:r>
        <w:rPr>
          <w:rFonts w:ascii="Times New Roman" w:hAnsi="Times New Roman" w:cs="Times New Roman"/>
        </w:rPr>
        <w:t xml:space="preserve">Allometry, arthropod, </w:t>
      </w:r>
      <w:r w:rsidR="00125031">
        <w:rPr>
          <w:rFonts w:ascii="Times New Roman" w:hAnsi="Times New Roman" w:cs="Times New Roman"/>
        </w:rPr>
        <w:t xml:space="preserve">centipede, DNA metabarcoding, </w:t>
      </w:r>
      <w:r>
        <w:rPr>
          <w:rFonts w:ascii="Times New Roman" w:hAnsi="Times New Roman" w:cs="Times New Roman"/>
        </w:rPr>
        <w:t>functional role</w:t>
      </w:r>
      <w:r w:rsidR="00125031">
        <w:rPr>
          <w:rFonts w:ascii="Times New Roman" w:hAnsi="Times New Roman" w:cs="Times New Roman"/>
        </w:rPr>
        <w:t>, hunting strategy, insect, spider</w:t>
      </w:r>
    </w:p>
    <w:p w14:paraId="7A17AD8A" w14:textId="79698276" w:rsidR="00B701CD" w:rsidRPr="00B701CD" w:rsidRDefault="00B701CD" w:rsidP="00DE5902">
      <w:pPr>
        <w:spacing w:line="360" w:lineRule="auto"/>
        <w:rPr>
          <w:rFonts w:ascii="Times New Roman" w:hAnsi="Times New Roman" w:cs="Times New Roman"/>
          <w:b/>
          <w:bCs/>
        </w:rPr>
      </w:pPr>
    </w:p>
    <w:p w14:paraId="42F2EFAE" w14:textId="1FA19F63" w:rsidR="00B54432" w:rsidRPr="00CD2D4F" w:rsidRDefault="00B701CD" w:rsidP="00DE5902">
      <w:pPr>
        <w:spacing w:line="360" w:lineRule="auto"/>
        <w:rPr>
          <w:rFonts w:ascii="Times New Roman" w:hAnsi="Times New Roman" w:cs="Times New Roman"/>
          <w:b/>
          <w:bCs/>
        </w:rPr>
      </w:pPr>
      <w:r w:rsidRPr="00B701CD">
        <w:rPr>
          <w:rFonts w:ascii="Times New Roman" w:hAnsi="Times New Roman" w:cs="Times New Roman"/>
          <w:b/>
          <w:bCs/>
        </w:rPr>
        <w:t>Introduction</w:t>
      </w:r>
    </w:p>
    <w:p w14:paraId="7C9EA1AE" w14:textId="22EE3936" w:rsidR="003C17C3" w:rsidRDefault="00494CCD" w:rsidP="00DE5902">
      <w:pPr>
        <w:spacing w:line="36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McCann, 2000)","plainTextFormattedCitation":"(Brodie et al., 2014; McCann, 2000)","previouslyFormattedCitation":"(Brodie et al., 2014; McCann, 2000)"},"properties":{"noteIndex":0},"schema":"https://github.com/citation-style-language/schema/raw/master/csl-citation.json"}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(Brodie et al., 2014; McCann, 2000)</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w:t>
      </w:r>
      <w:r>
        <w:rPr>
          <w:rFonts w:ascii="Times New Roman" w:hAnsi="Times New Roman" w:cs="Times New Roman"/>
        </w:rPr>
        <w:lastRenderedPageBreak/>
        <w:t xml:space="preserve">framework; specifically, </w:t>
      </w:r>
      <w:r w:rsidR="00FF4E15">
        <w:rPr>
          <w:rFonts w:ascii="Times New Roman" w:hAnsi="Times New Roman" w:cs="Times New Roman"/>
        </w:rPr>
        <w:t xml:space="preserve">emphasis is placed on how </w:t>
      </w:r>
      <w:r>
        <w:rPr>
          <w:rFonts w:ascii="Times New Roman" w:hAnsi="Times New Roman" w:cs="Times New Roman"/>
        </w:rPr>
        <w:t xml:space="preserve">species identity or phylogenetic relatedness shape feeding interactions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relationships","type":"article-journal","volume":"4"},"uris":["http://www.mendeley.com/documents/?uuid=4448492a-5bf5-407a-9d57-8d5b187f76ea"]}],"mendeley":{"formattedCitation":"(Gravel, Poisot, Albouy, Velez, &amp; Mouillot, 2013; Nakazawa, 2017; Stouffer, Camacho, Guimera, Ng, &amp; Nunes Amaral, 2005; Woodward et al., 2005)","plainTextFormattedCitation":"(Gravel, Poisot, Albouy, Velez, &amp; Mouillot, 2013; Nakazawa, 2017; Stouffer, Camacho, Guimera, Ng, &amp; Nunes Amaral, 2005; Woodward et al., 2005)","previouslyFormattedCitation":"(Gravel, Poisot, Albouy, Velez, &amp; Mouillot, 2013; Nakazawa, 2017; Stouffer, Camacho, Guimera, Ng, &amp; Nunes Amaral, 2005; 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(Gravel, Poisot, Albouy, Velez, &amp; Mouillot, 2013; Nakazawa, 2017; Stouffer, Camacho, Guimera, Ng, &amp; Nunes Amaral, 2005; 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webs","type":"article-journal","volume":"10"},"uris":["http://www.mendeley.com/documents/?uuid=df3e6719-a9b8-4410-add1-db4cd678eff9"]}],"mendeley":{"formattedCitation":"(Brose et al., 2019; Gray et al., 2015; Pomeranz, Thompson, Poisot, &amp; Harding, 2019; Rudolf, Rasmussen, Dibble, &amp; Allen, 2014)","plainTextFormattedCitation":"(Brose et al., 2019; Gray et al., 2015; Pomeranz, Thompson, Poisot, &amp; Harding, 2019; Rudolf, Rasmussen, Dibble, &amp; Allen, 2014)","previouslyFormattedCitation":"(Brose et al., 2019; Gray et al., 2015; Pomeranz, Thompson, Poisot, &amp; Harding, 2019; Rudolf, Rasmussen, Dibble, &amp; Allen, 2014)"},"properties":{"noteIndex":0},"schema":"https://github.com/citation-style-language/schema/raw/master/csl-citation.json"}</w:instrText>
      </w:r>
      <w:r w:rsidR="001804BF">
        <w:rPr>
          <w:rFonts w:ascii="Times New Roman" w:hAnsi="Times New Roman" w:cs="Times New Roman"/>
        </w:rPr>
        <w:fldChar w:fldCharType="separate"/>
      </w:r>
      <w:r w:rsidR="00D86047" w:rsidRPr="00D86047">
        <w:rPr>
          <w:rFonts w:ascii="Times New Roman" w:hAnsi="Times New Roman" w:cs="Times New Roman"/>
          <w:noProof/>
        </w:rPr>
        <w:t>(Brose et al., 2019; Gray et al., 2015; Pomeranz, Thompson, Poisot, &amp; Harding, 2019; Rudolf, Rasmussen, Dibble, &amp; Allen, 2014)</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DE5902">
      <w:pPr>
        <w:spacing w:line="360" w:lineRule="auto"/>
        <w:rPr>
          <w:rFonts w:ascii="Times New Roman" w:hAnsi="Times New Roman" w:cs="Times New Roman"/>
        </w:rPr>
      </w:pPr>
    </w:p>
    <w:p w14:paraId="40AA5AF6" w14:textId="50EC95B7" w:rsidR="00402708" w:rsidRDefault="00C95A5D" w:rsidP="00DE5902">
      <w:pPr>
        <w:spacing w:line="360" w:lineRule="auto"/>
        <w:rPr>
          <w:rFonts w:ascii="Times New Roman" w:hAnsi="Times New Roman" w:cs="Times New Roman"/>
        </w:rPr>
      </w:pPr>
      <w:r w:rsidRPr="00C95A5D">
        <w:rPr>
          <w:rFonts w:ascii="Times New Roman" w:hAnsi="Times New Roman" w:cs="Times New Roman"/>
        </w:rPr>
        <w:t>Although a few general rules sometimes predict patterns in empirical food webs, we have a dearth of observed interaction data from many predators, in particular small-bodied invertebrate predator species</w:t>
      </w:r>
      <w:r>
        <w:rPr>
          <w:rFonts w:ascii="Times New Roman" w:hAnsi="Times New Roman" w:cs="Times New Roman"/>
        </w:rPr>
        <w:t xml:space="preserve"> for which empirical diet methods (e.g. gut dissections) are impossible or unfeasible to conduct </w:t>
      </w:r>
      <w:r>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food-webs","type":"article-journal","volume":"19"},"uris":["http://www.mendeley.com/documents/?uuid=ec100941-2fe1-467e-9e58-6b799beeb186"]}],"mendeley":{"formattedCitation":"(Gravel et al., 2013; McLaughlin, Jonsson, &amp; Emmerson, 2010; Sheppard &amp; Harwood, 2005)","plainTextFormattedCitation":"(Gravel et al., 2013; McLaughlin, Jonsson, &amp; Emmerson, 2010; Sheppard &amp; Harwood, 2005)","previouslyFormattedCitation":"(Gravel et al., 2013; McLaughlin, Jonsson, &amp; Emmerson, 2010; Sheppard &amp; Harwood, 2005)"},"properties":{"noteIndex":0},"schema":"https://github.com/citation-style-language/schema/raw/master/csl-citation.json"}</w:instrText>
      </w:r>
      <w:r>
        <w:rPr>
          <w:rFonts w:ascii="Times New Roman" w:hAnsi="Times New Roman" w:cs="Times New Roman"/>
        </w:rPr>
        <w:fldChar w:fldCharType="separate"/>
      </w:r>
      <w:r w:rsidRPr="00C95A5D">
        <w:rPr>
          <w:rFonts w:ascii="Times New Roman" w:hAnsi="Times New Roman" w:cs="Times New Roman"/>
          <w:noProof/>
        </w:rPr>
        <w:t>(Gravel et al., 2013; McLaughlin, Jonsson, &amp; Emmerson, 2010; Sheppard &amp; Harwood, 2005)</w:t>
      </w:r>
      <w:r>
        <w:rPr>
          <w:rFonts w:ascii="Times New Roman" w:hAnsi="Times New Roman" w:cs="Times New Roman"/>
        </w:rPr>
        <w:fldChar w:fldCharType="end"/>
      </w:r>
      <w:r w:rsidRPr="00C95A5D">
        <w:rPr>
          <w:rFonts w:ascii="Times New Roman" w:hAnsi="Times New Roman" w:cs="Times New Roman"/>
        </w:rPr>
        <w:t>. Without these data, we cannot validate extrapolated approaches to predicting interactions based on 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breadth\"","type":"article-journal","volume":"117"},"uris":["http://www.mendeley.com/documents/?uuid=7e97126c-5a1d-4476-a285-bfd16d198161"]}],"mendeley":{"formattedCitation":"(Laigle et al., 2018; Piechnik, Lawler, &amp; Martinez, 2008; Simberloff &amp; Wilson, 1969)","plainTextFormattedCitation":"(Laigle et al., 2018; Piechnik, Lawler, &amp; Martinez, 2008; Simberloff &amp; Wilson, 1969)","previouslyFormattedCitation":"(Laigle et al., 2018; Piechnik, Lawler, &amp; Martinez, 2008; Simberloff &amp; Wilson, 1969)"},"properties":{"noteIndex":0},"schema":"https://github.com/citation-style-language/schema/raw/master/csl-citation.json"}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(Laigle et al., 2018; Piechnik, Lawler, &amp; Martinez, 2008; Simberloff &amp; Wilson, 1969)</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Curtsdotter, Riede, Klarner, &amp; Brose, 2014; Hines et al., 2019; Laigle et al., 2018)","plainTextFormattedCitation":"(Digel, Curtsdotter, Riede, Klarner, &amp; Brose, 2014; Hines et al., 2019; Laigle et al., 2018)","previouslyFormattedCitation":"(Digel, Curtsdotter, Riede, Klarner, &amp; Brose, 2014; Hines et al., 2019; Laigle et al., 2018)"},"properties":{"noteIndex":0},"schema":"https://github.com/citation-style-language/schema/raw/master/csl-citation.json"}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(Digel, Curtsdotter, Riede, Klarner, &amp; Brose, 2014; Hines et al., 2019; Laigle et al., 2018)</w:t>
      </w:r>
      <w:r w:rsidR="00696010">
        <w:rPr>
          <w:rFonts w:ascii="Times New Roman" w:hAnsi="Times New Roman" w:cs="Times New Roman"/>
        </w:rPr>
        <w:fldChar w:fldCharType="end"/>
      </w:r>
      <w:r w:rsidR="003B1307">
        <w:rPr>
          <w:rFonts w:ascii="Times New Roman" w:hAnsi="Times New Roman" w:cs="Times New Roman"/>
        </w:rPr>
        <w:t xml:space="preserve">, </w:t>
      </w:r>
      <w:r w:rsidR="00571274">
        <w:rPr>
          <w:rFonts w:ascii="Times New Roman" w:hAnsi="Times New Roman" w:cs="Times New Roman"/>
        </w:rPr>
        <w:t xml:space="preserve">or </w:t>
      </w:r>
      <w:r w:rsidR="00696D8E">
        <w:rPr>
          <w:rFonts w:ascii="Times New Roman" w:hAnsi="Times New Roman" w:cs="Times New Roman"/>
        </w:rPr>
        <w:t xml:space="preserve">derived from mesocosms or feeding trials which include only pre-defined predator-prey identity pairs </w:t>
      </w:r>
      <w:r w:rsidR="003B1307">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levels","type":"article-journal","volume":"123"},"uris":["http://www.mendeley.com/documents/?uuid=aa34e369-0df4-4c09-af6d-c5ccfdabf0c8"]}],"mendeley":{"formattedCitation":"(Digel et al., 2014; Rall, Kalinkat, Ott, Vucic-Prestic, &amp; Brose, 2011; Rudolf et al., 2014)","plainTextFormattedCitation":"(Digel et al., 2014; Rall, Kalinkat, Ott, Vucic-Prestic, &amp; Brose, 2011; Rudolf et al., 2014)","previouslyFormattedCitation":"(Digel et al., 2014; Rall, Kalinkat, Ott, Vucic-Prestic, &amp; Brose, 2011; Rudolf et al., 2014)"},"properties":{"noteIndex":0},"schema":"https://github.com/citation-style-language/schema/raw/master/csl-citation.json"}</w:instrText>
      </w:r>
      <w:r w:rsidR="003B1307">
        <w:rPr>
          <w:rFonts w:ascii="Times New Roman" w:hAnsi="Times New Roman" w:cs="Times New Roman"/>
        </w:rPr>
        <w:fldChar w:fldCharType="separate"/>
      </w:r>
      <w:r w:rsidR="00D86047" w:rsidRPr="00D86047">
        <w:rPr>
          <w:rFonts w:ascii="Times New Roman" w:hAnsi="Times New Roman" w:cs="Times New Roman"/>
          <w:noProof/>
        </w:rPr>
        <w:t>(Digel et al., 2014; Rall, Kalinkat, Ott, Vucic-Prestic, &amp; Brose, 2011;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patterns that emerge for these interactions </w:t>
      </w:r>
      <w:r w:rsidR="000E1D95">
        <w:rPr>
          <w:rFonts w:ascii="Times New Roman" w:hAnsi="Times New Roman" w:cs="Times New Roman"/>
        </w:rPr>
        <w:t>are real</w:t>
      </w:r>
      <w:r w:rsidR="00571274">
        <w:rPr>
          <w:rFonts w:ascii="Times New Roman" w:hAnsi="Times New Roman" w:cs="Times New Roman"/>
        </w:rPr>
        <w:t xml:space="preserve"> </w:t>
      </w:r>
      <w:r w:rsidR="00FF4E15">
        <w:rPr>
          <w:rFonts w:ascii="Times New Roman" w:hAnsi="Times New Roman" w:cs="Times New Roman"/>
        </w:rPr>
        <w:t>broad</w:t>
      </w:r>
      <w:r w:rsidR="000E1D95">
        <w:rPr>
          <w:rFonts w:ascii="Times New Roman" w:hAnsi="Times New Roman" w:cs="Times New Roman"/>
        </w:rPr>
        <w:t xml:space="preserve"> </w:t>
      </w:r>
      <w:r w:rsidR="000E1D95">
        <w:rPr>
          <w:rFonts w:ascii="Times New Roman" w:hAnsi="Times New Roman" w:cs="Times New Roman"/>
        </w:rPr>
        <w:lastRenderedPageBreak/>
        <w:t xml:space="preserve">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Earth","type":"article-journal","volume":"115"},"uris":["http://www.mendeley.com/documents/?uuid=fda04dcf-5d56-436d-acd2-f3b64850659b"]}],"mendeley":{"formattedCitation":"(Bar-On, Phillips, &amp; Milo, 2018; Costello, May, &amp; Stork, 2013; Mora, Tittensor, Adl, Simpson, &amp; Worm, 2011; Stork, 2018)","plainTextFormattedCitation":"(Bar-On, Phillips, &amp; Milo, 2018; Costello, May, &amp; Stork, 2013; Mora, Tittensor, Adl, Simpson, &amp; Worm, 2011; Stork, 2018)","previouslyFormattedCitation":"(Bar-On, Phillips, &amp; Milo, 2018; Costello, May, &amp; Stork, 2013; Mora, Tittensor, Adl, Simpson, &amp; Worm, 2011; Stork, 2018)"},"properties":{"noteIndex":0},"schema":"https://github.com/citation-style-language/schema/raw/master/csl-citation.json"}</w:instrText>
      </w:r>
      <w:r w:rsidR="00F977A0">
        <w:rPr>
          <w:rFonts w:ascii="Times New Roman" w:hAnsi="Times New Roman" w:cs="Times New Roman"/>
        </w:rPr>
        <w:fldChar w:fldCharType="separate"/>
      </w:r>
      <w:r w:rsidR="00D86047" w:rsidRPr="00D86047">
        <w:rPr>
          <w:rFonts w:ascii="Times New Roman" w:hAnsi="Times New Roman" w:cs="Times New Roman"/>
          <w:noProof/>
        </w:rPr>
        <w:t>(Bar-On, Phillips, &amp; Milo, 2018; Costello, May, &amp; Stork, 2013; Mora, Tittensor, Adl, Simpson, &amp; Worm, 2011;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DE5902">
      <w:pPr>
        <w:spacing w:line="360" w:lineRule="auto"/>
        <w:rPr>
          <w:rFonts w:ascii="Times New Roman" w:hAnsi="Times New Roman" w:cs="Times New Roman"/>
        </w:rPr>
      </w:pPr>
    </w:p>
    <w:p w14:paraId="70E8307D" w14:textId="1E8F0E64" w:rsidR="00186ECE" w:rsidRDefault="00B66A52" w:rsidP="00DE5902">
      <w:pPr>
        <w:spacing w:line="36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w:t>
      </w:r>
      <w:r w:rsidR="00C555DF">
        <w:rPr>
          <w:rFonts w:ascii="Times New Roman" w:hAnsi="Times New Roman" w:cs="Times New Roman"/>
        </w:rPr>
        <w:t>05</w:t>
      </w:r>
      <w:r w:rsidR="00B26C4B">
        <w:rPr>
          <w:rFonts w:ascii="Times New Roman" w:hAnsi="Times New Roman" w:cs="Times New Roman"/>
        </w:rPr>
        <w:t xml:space="preserve">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DE5902">
      <w:pPr>
        <w:spacing w:line="360" w:lineRule="auto"/>
        <w:rPr>
          <w:rFonts w:ascii="Times New Roman" w:hAnsi="Times New Roman" w:cs="Times New Roman"/>
          <w:b/>
          <w:bCs/>
        </w:rPr>
      </w:pPr>
    </w:p>
    <w:p w14:paraId="43AA19F6" w14:textId="04AF8570" w:rsidR="0040503F" w:rsidRPr="00CD2D4F" w:rsidRDefault="006D34B7" w:rsidP="00DE5902">
      <w:pPr>
        <w:spacing w:line="36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DE5902">
      <w:pPr>
        <w:spacing w:line="36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19BE25D1" w:rsidR="00403088" w:rsidRDefault="00DD2339" w:rsidP="00DE5902">
      <w:pPr>
        <w:spacing w:line="36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(Handler, Gruner, Haines, Lange, &amp; Kaneshiro,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Weber, Coudron, &amp; Payton, 2011)","plainTextFormattedCitation":"(Greenstone, Weber, Coudron, &amp; Payton, 2011)","previouslyFormattedCitation":"(Greenstone, Weber, Coudron, &amp; Payton, 2011; Miller-ter Kuile, Apigo, &amp; Young, 2020)"},"properties":{"noteIndex":0},"schema":"https://github.com/citation-style-language/schema/raw/master/csl-citation.json"}</w:instrText>
      </w:r>
      <w:r w:rsidRPr="0040503F">
        <w:rPr>
          <w:rFonts w:ascii="Times New Roman" w:hAnsi="Times New Roman" w:cs="Times New Roman"/>
          <w:bCs/>
        </w:rPr>
        <w:fldChar w:fldCharType="separate"/>
      </w:r>
      <w:r w:rsidR="00910062" w:rsidRPr="00910062">
        <w:rPr>
          <w:rFonts w:ascii="Times New Roman" w:hAnsi="Times New Roman" w:cs="Times New Roman"/>
          <w:bCs/>
          <w:noProof/>
        </w:rPr>
        <w:t>(Greenstone, Weber, Coudron, &amp; Payton,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DE5902">
      <w:pPr>
        <w:spacing w:line="360" w:lineRule="auto"/>
        <w:rPr>
          <w:rFonts w:ascii="Times New Roman" w:hAnsi="Times New Roman" w:cs="Times New Roman"/>
          <w:bCs/>
        </w:rPr>
      </w:pPr>
    </w:p>
    <w:p w14:paraId="2F52638C" w14:textId="3322994A" w:rsidR="00DD2339" w:rsidRDefault="0040503F" w:rsidP="00DE5902">
      <w:pPr>
        <w:spacing w:line="360" w:lineRule="auto"/>
        <w:rPr>
          <w:rFonts w:ascii="Times New Roman" w:hAnsi="Times New Roman" w:cs="Times New Roman"/>
          <w:bCs/>
        </w:rPr>
      </w:pPr>
      <w:r>
        <w:rPr>
          <w:rFonts w:ascii="Times New Roman" w:hAnsi="Times New Roman" w:cs="Times New Roman"/>
          <w:bCs/>
        </w:rPr>
        <w:lastRenderedPageBreak/>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D86047" w:rsidRPr="00D86047">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DE5902">
      <w:pPr>
        <w:spacing w:line="360" w:lineRule="auto"/>
        <w:rPr>
          <w:rFonts w:ascii="Times New Roman" w:hAnsi="Times New Roman" w:cs="Times New Roman"/>
          <w:bCs/>
          <w:i/>
          <w:iCs/>
        </w:rPr>
      </w:pPr>
    </w:p>
    <w:p w14:paraId="1A43F443" w14:textId="6275873F" w:rsidR="00DD2339" w:rsidRPr="0040503F" w:rsidRDefault="00DD2339"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DE5902">
      <w:pPr>
        <w:spacing w:line="36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DE5902">
      <w:pPr>
        <w:spacing w:line="360" w:lineRule="auto"/>
        <w:rPr>
          <w:rFonts w:ascii="Times New Roman" w:hAnsi="Times New Roman" w:cs="Times New Roman"/>
          <w:bCs/>
        </w:rPr>
      </w:pPr>
    </w:p>
    <w:p w14:paraId="13915865" w14:textId="61973A14" w:rsidR="00795B74" w:rsidRDefault="00D00434" w:rsidP="00DE5902">
      <w:pPr>
        <w:spacing w:line="36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2017)","plainTextFormattedCitation":"(Krehenwinkel, Kennedy, Pekár, &amp; Gillespie, 2017)","previouslyFormattedCitation":"(Krehenwinkel, Kennedy, Pekár, &amp; Gillespie,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Kennedy, Pekár, &amp; Gillespie,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et al., 2017; Leray et al., 2013; Yu et al., 2012)</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D86047" w:rsidRPr="00D86047">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&amp;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w:t>
      </w:r>
      <w:r>
        <w:rPr>
          <w:rFonts w:ascii="Times New Roman" w:hAnsi="Times New Roman" w:cs="Times New Roman"/>
          <w:bCs/>
        </w:rPr>
        <w:lastRenderedPageBreak/>
        <w:t>(version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Ma, &amp; Chao,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DE5902">
      <w:pPr>
        <w:spacing w:line="360" w:lineRule="auto"/>
        <w:rPr>
          <w:rFonts w:ascii="Times New Roman" w:hAnsi="Times New Roman" w:cs="Times New Roman"/>
        </w:rPr>
      </w:pPr>
    </w:p>
    <w:p w14:paraId="1795D386" w14:textId="44DD06AF" w:rsidR="002350AD" w:rsidRPr="002350AD" w:rsidRDefault="002350AD" w:rsidP="00DE5902">
      <w:pPr>
        <w:spacing w:line="360" w:lineRule="auto"/>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7DDB6F8D" w:rsidR="0059261E" w:rsidRPr="00C66B85" w:rsidRDefault="002D7EE0" w:rsidP="00DE5902">
      <w:pPr>
        <w:spacing w:line="36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272F2E">
        <w:rPr>
          <w:rFonts w:ascii="Times New Roman" w:hAnsi="Times New Roman" w:cs="Times New Roman"/>
          <w:bCs/>
        </w:rPr>
        <w:fldChar w:fldCharType="separate"/>
      </w:r>
      <w:r w:rsidR="00D86047" w:rsidRPr="00D86047">
        <w:rPr>
          <w:rFonts w:ascii="Times New Roman" w:hAnsi="Times New Roman" w:cs="Times New Roman"/>
          <w:bCs/>
          <w:noProof/>
        </w:rPr>
        <w:t>(Brose et al., 2019; Eitzinger et al., 2019; Kartzinel et al., 2015)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 xml:space="preserve">We corrected for potential sequence jumping (‘cross-talk’) across samples by removing reads across samples that emerged in negative controls </w:t>
      </w:r>
      <w:r w:rsidR="00E85799">
        <w:rPr>
          <w:rFonts w:ascii="Times New Roman" w:hAnsi="Times New Roman" w:cs="Times New Roman"/>
          <w:bCs/>
        </w:rPr>
        <w:fldChar w:fldCharType="begin" w:fldLock="1"/>
      </w:r>
      <w:r w:rsidR="0011190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85799" w:rsidRPr="00E85799">
        <w:rPr>
          <w:rFonts w:ascii="Times New Roman" w:hAnsi="Times New Roman" w:cs="Times New Roman"/>
          <w:bCs/>
          <w:noProof/>
        </w:rPr>
        <w:t>(Oono et al., 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(‘cross-talk’) </w:t>
      </w:r>
      <w:r w:rsidR="00786A5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786A57">
        <w:rPr>
          <w:rFonts w:ascii="Times New Roman" w:hAnsi="Times New Roman" w:cs="Times New Roman"/>
          <w:bCs/>
        </w:rPr>
        <w:fldChar w:fldCharType="separate"/>
      </w:r>
      <w:r w:rsidR="00D86047" w:rsidRPr="00D86047">
        <w:rPr>
          <w:rFonts w:ascii="Times New Roman" w:hAnsi="Times New Roman" w:cs="Times New Roman"/>
          <w:bCs/>
          <w:noProof/>
        </w:rPr>
        <w:t>(van der Valk, Vezzi, Ormestad, Dalén, &amp; Guschanski,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DE5902">
      <w:pPr>
        <w:spacing w:line="360" w:lineRule="auto"/>
        <w:rPr>
          <w:rFonts w:ascii="Times New Roman" w:hAnsi="Times New Roman" w:cs="Times New Roman"/>
        </w:rPr>
      </w:pPr>
    </w:p>
    <w:p w14:paraId="77EB762D" w14:textId="2EE61994" w:rsidR="00477419" w:rsidRDefault="001C75DC" w:rsidP="00DE5902">
      <w:pPr>
        <w:spacing w:line="360" w:lineRule="auto"/>
        <w:rPr>
          <w:rFonts w:ascii="Times New Roman" w:hAnsi="Times New Roman" w:cs="Times New Roman"/>
          <w:i/>
          <w:iCs/>
        </w:rPr>
      </w:pPr>
      <w:r>
        <w:rPr>
          <w:rFonts w:ascii="Times New Roman" w:hAnsi="Times New Roman" w:cs="Times New Roman"/>
          <w:i/>
          <w:iCs/>
        </w:rPr>
        <w:t>Predator and prey size determination</w:t>
      </w:r>
    </w:p>
    <w:p w14:paraId="3AC6B12B" w14:textId="1705A161" w:rsidR="00624885" w:rsidRDefault="00D00434" w:rsidP="00DE5902">
      <w:pPr>
        <w:spacing w:line="36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A28C6">
        <w:rPr>
          <w:rFonts w:ascii="Cambria Math" w:hAnsi="Cambria Math" w:cs="Cambria Math"/>
        </w:rPr>
        <w:instrText>∼</w:instrText>
      </w:r>
      <w:r w:rsidR="00BA28C6">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Marian, et al., 2018; Su et al., 2020; Yaninek &amp; Gnanvossou, 1993)","plainTextFormattedCitation":"(Sohlström, Marian, et al., 2018; Su et al., 2020; Yaninek &amp; Gnanvossou, 1993)","previouslyFormattedCitation":"(Sohlström, Marian, et al., 2018; Su et al., 2020; Yaninek &amp; Gnanvossou, 1993)"},"properties":{"noteIndex":0},"schema":"https://github.com/citation-style-language/schema/raw/master/csl-citation.json"}</w:instrText>
      </w:r>
      <w:r w:rsidR="00BC4812">
        <w:rPr>
          <w:rFonts w:ascii="Times New Roman" w:hAnsi="Times New Roman" w:cs="Times New Roman"/>
        </w:rPr>
        <w:fldChar w:fldCharType="separate"/>
      </w:r>
      <w:r w:rsidR="00BA28C6" w:rsidRPr="00BA28C6">
        <w:rPr>
          <w:rFonts w:ascii="Times New Roman" w:hAnsi="Times New Roman" w:cs="Times New Roman"/>
          <w:noProof/>
        </w:rPr>
        <w:t>(Sohlström, Marian, et al., 2018; Su et al., 2020; Yaninek &amp; Gnanvossou, 1993)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DE5902">
      <w:pPr>
        <w:spacing w:line="360" w:lineRule="auto"/>
        <w:rPr>
          <w:rFonts w:ascii="Times New Roman" w:hAnsi="Times New Roman" w:cs="Times New Roman"/>
        </w:rPr>
      </w:pPr>
    </w:p>
    <w:p w14:paraId="26284E1F" w14:textId="012E0E7D" w:rsidR="00FB09BB" w:rsidRDefault="00341F31" w:rsidP="00DE5902">
      <w:pPr>
        <w:spacing w:line="36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21D3095A" w:rsidR="0016204D" w:rsidRDefault="001C75DC" w:rsidP="00DE5902">
      <w:pPr>
        <w:spacing w:line="36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 xml:space="preserve">or predator </w:t>
      </w:r>
      <w:r w:rsidR="001D7A89">
        <w:rPr>
          <w:rFonts w:ascii="Times New Roman" w:hAnsi="Times New Roman" w:cs="Times New Roman"/>
        </w:rPr>
        <w:lastRenderedPageBreak/>
        <w:t>phylogeny</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predators based on whether or not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and 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phylogeny model</w:t>
      </w:r>
      <w:r w:rsidR="00A630FE">
        <w:rPr>
          <w:rFonts w:ascii="Times New Roman" w:hAnsi="Times New Roman" w:cs="Times New Roman"/>
        </w:rPr>
        <w:t>s</w:t>
      </w:r>
      <w:r w:rsidR="001D7A89">
        <w:rPr>
          <w:rFonts w:ascii="Times New Roman" w:hAnsi="Times New Roman" w:cs="Times New Roman"/>
        </w:rPr>
        <w:t xml:space="preserve"> – 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In each of these models</w:t>
      </w:r>
      <w:r w:rsidR="00A630FE">
        <w:rPr>
          <w:rFonts w:ascii="Times New Roman" w:hAnsi="Times New Roman" w:cs="Times New Roman"/>
        </w:rPr>
        <w:t xml:space="preserve"> except the predator species model</w:t>
      </w:r>
      <w:r w:rsidR="00355E52">
        <w:rPr>
          <w:rFonts w:ascii="Times New Roman" w:hAnsi="Times New Roman" w:cs="Times New Roman"/>
        </w:rPr>
        <w:t xml:space="preserve">, predator individual and predator species identity were </w:t>
      </w:r>
      <w:r w:rsidR="008965C3">
        <w:rPr>
          <w:rFonts w:ascii="Times New Roman" w:hAnsi="Times New Roman" w:cs="Times New Roman"/>
        </w:rPr>
        <w:t xml:space="preserve">considered </w:t>
      </w:r>
      <w:r w:rsidR="00355E52">
        <w:rPr>
          <w:rFonts w:ascii="Times New Roman" w:hAnsi="Times New Roman" w:cs="Times New Roman"/>
        </w:rPr>
        <w:t xml:space="preserve">random effects. </w:t>
      </w:r>
      <w:r w:rsidR="00A630FE">
        <w:rPr>
          <w:rFonts w:ascii="Times New Roman" w:hAnsi="Times New Roman" w:cs="Times New Roman"/>
        </w:rPr>
        <w:t>For the predator species model, only predator individual was considered as a random effect.</w:t>
      </w:r>
    </w:p>
    <w:p w14:paraId="65F4D188" w14:textId="77777777" w:rsidR="0016204D" w:rsidRDefault="0016204D" w:rsidP="00DE5902">
      <w:pPr>
        <w:spacing w:line="360" w:lineRule="auto"/>
        <w:rPr>
          <w:rFonts w:ascii="Times New Roman" w:hAnsi="Times New Roman" w:cs="Times New Roman"/>
        </w:rPr>
      </w:pPr>
    </w:p>
    <w:p w14:paraId="5E35F146" w14:textId="6BD4A181" w:rsidR="0016204D" w:rsidRDefault="0016204D" w:rsidP="00DE5902">
      <w:pPr>
        <w:spacing w:line="360" w:lineRule="auto"/>
        <w:rPr>
          <w:rFonts w:ascii="Times New Roman" w:hAnsi="Times New Roman" w:cs="Times New Roman"/>
          <w:i/>
          <w:iCs/>
        </w:rPr>
      </w:pPr>
      <w:r>
        <w:rPr>
          <w:rFonts w:ascii="Times New Roman" w:hAnsi="Times New Roman" w:cs="Times New Roman"/>
          <w:i/>
          <w:iCs/>
        </w:rPr>
        <w:t>Statistical model selection</w:t>
      </w:r>
    </w:p>
    <w:p w14:paraId="29A230B2" w14:textId="0E746045" w:rsidR="00974823" w:rsidRDefault="00D9232A" w:rsidP="00DE5902">
      <w:pPr>
        <w:spacing w:line="36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(n = 5 total models)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Lowman, Guerra, &amp; Miller-ter Kuile, 2020)","plainTextFormattedCitation":"(Bui, Lowman, Guerra, &amp; Miller-ter Kuile, 2020)","previouslyFormattedCitation":"(Bui, Lowman, Guerra, &amp; Miller-ter Kuile,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(Bui, Lowman, Guerra, &amp; Miller-ter Kuile,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DE5902">
      <w:pPr>
        <w:spacing w:line="360" w:lineRule="auto"/>
        <w:rPr>
          <w:rFonts w:ascii="Times New Roman" w:hAnsi="Times New Roman" w:cs="Times New Roman"/>
          <w:b/>
        </w:rPr>
      </w:pPr>
    </w:p>
    <w:p w14:paraId="0E8AAA72" w14:textId="5B5DEEC2" w:rsidR="00DD2339" w:rsidRPr="00CD2D4F" w:rsidRDefault="00A20941" w:rsidP="00DE5902">
      <w:pPr>
        <w:spacing w:line="36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50BD6346" w:rsidR="00121B45" w:rsidRDefault="00121B45" w:rsidP="00DE5902">
      <w:pPr>
        <w:spacing w:line="36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and our </w:t>
      </w:r>
      <w:r w:rsidR="00F16471">
        <w:rPr>
          <w:rFonts w:ascii="Times New Roman" w:hAnsi="Times New Roman" w:cs="Times New Roman"/>
          <w:bCs/>
        </w:rPr>
        <w:t xml:space="preserve">code </w:t>
      </w:r>
      <w:r w:rsidR="00910062">
        <w:rPr>
          <w:rFonts w:ascii="Times New Roman" w:hAnsi="Times New Roman" w:cs="Times New Roman"/>
          <w:bCs/>
        </w:rPr>
        <w:t xml:space="preserve">and analyses are currently hosted in a GitHub repository. Neither of these sources is anonymous, and because of </w:t>
      </w:r>
      <w:r w:rsidR="00910062">
        <w:rPr>
          <w:rFonts w:ascii="Times New Roman" w:hAnsi="Times New Roman" w:cs="Times New Roman"/>
          <w:bCs/>
        </w:rPr>
        <w:lastRenderedPageBreak/>
        <w:t xml:space="preserve">double-blind peer review, we do not provide links to them here. Code and analyses will be published on Dryad prior to publication. </w:t>
      </w:r>
    </w:p>
    <w:p w14:paraId="55BFADB0" w14:textId="77777777" w:rsidR="00121B45" w:rsidRDefault="00121B45" w:rsidP="00DE5902">
      <w:pPr>
        <w:spacing w:line="360" w:lineRule="auto"/>
        <w:rPr>
          <w:rFonts w:ascii="Times New Roman" w:hAnsi="Times New Roman" w:cs="Times New Roman"/>
          <w:bCs/>
        </w:rPr>
      </w:pPr>
    </w:p>
    <w:p w14:paraId="70DCF198" w14:textId="59323506" w:rsidR="00DC018D" w:rsidRDefault="000457E2" w:rsidP="00DE5902">
      <w:pPr>
        <w:spacing w:line="360" w:lineRule="auto"/>
        <w:rPr>
          <w:rFonts w:ascii="Times New Roman" w:hAnsi="Times New Roman" w:cs="Times New Roman"/>
          <w:bCs/>
        </w:rPr>
      </w:pPr>
      <w:r>
        <w:rPr>
          <w:rFonts w:ascii="Times New Roman" w:hAnsi="Times New Roman" w:cs="Times New Roman"/>
          <w:bCs/>
        </w:rPr>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r w:rsidR="00F16471">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sidR="00F16471">
        <w:rPr>
          <w:rFonts w:ascii="Times New Roman" w:hAnsi="Times New Roman" w:cs="Times New Roman"/>
          <w:bCs/>
        </w:rPr>
        <w:t xml:space="preserve">(Figure </w:t>
      </w:r>
      <w:r w:rsidR="00356368">
        <w:rPr>
          <w:rFonts w:ascii="Times New Roman" w:hAnsi="Times New Roman" w:cs="Times New Roman"/>
          <w:bCs/>
        </w:rPr>
        <w:t>3</w:t>
      </w:r>
      <w:r w:rsidR="00F16471">
        <w:rPr>
          <w:rFonts w:ascii="Times New Roman" w:hAnsi="Times New Roman" w:cs="Times New Roman"/>
          <w:bCs/>
        </w:rPr>
        <w:t xml:space="preserve">). </w:t>
      </w:r>
    </w:p>
    <w:p w14:paraId="6CA43AE7" w14:textId="01C76623" w:rsidR="00CD2D4F" w:rsidRPr="00AC3410" w:rsidRDefault="001A7E3C" w:rsidP="00DE5902">
      <w:pPr>
        <w:spacing w:line="360" w:lineRule="auto"/>
        <w:rPr>
          <w:rFonts w:ascii="Times New Roman" w:hAnsi="Times New Roman" w:cs="Times New Roman"/>
          <w:bCs/>
        </w:rPr>
      </w:pPr>
      <w:r>
        <w:rPr>
          <w:rFonts w:ascii="Times New Roman" w:hAnsi="Times New Roman" w:cs="Times New Roman"/>
          <w:bCs/>
        </w:rPr>
        <w:t xml:space="preserve"> </w:t>
      </w:r>
    </w:p>
    <w:p w14:paraId="75888DDC" w14:textId="7C6A4907" w:rsidR="009B6B84" w:rsidRPr="009B6B84" w:rsidRDefault="007D247B" w:rsidP="00DE5902">
      <w:pPr>
        <w:spacing w:line="36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6FB015B3" w:rsidR="00791E9A" w:rsidRDefault="007C0C14" w:rsidP="00DE5902">
      <w:pPr>
        <w:spacing w:line="36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w:t>
      </w:r>
      <w:r w:rsidR="00B958A7">
        <w:rPr>
          <w:rFonts w:ascii="Times New Roman" w:hAnsi="Times New Roman" w:cs="Times New Roman"/>
        </w:rPr>
        <w:t>2</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356368">
        <w:rPr>
          <w:rFonts w:ascii="Times New Roman" w:hAnsi="Times New Roman" w:cs="Times New Roman"/>
        </w:rPr>
        <w:t>5</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phylogeny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w:t>
      </w:r>
      <w:r w:rsidR="00E96F6D">
        <w:rPr>
          <w:rFonts w:ascii="Times New Roman" w:hAnsi="Times New Roman" w:cs="Times New Roman"/>
        </w:rPr>
        <w:t xml:space="preserve">phylogeny </w:t>
      </w:r>
      <w:r w:rsidR="006B2220">
        <w:rPr>
          <w:rFonts w:ascii="Times New Roman" w:hAnsi="Times New Roman" w:cs="Times New Roman"/>
        </w:rPr>
        <w:t xml:space="preserve">model that included </w:t>
      </w:r>
      <w:r w:rsidR="001D7A89">
        <w:rPr>
          <w:rFonts w:ascii="Times New Roman" w:hAnsi="Times New Roman" w:cs="Times New Roman"/>
        </w:rPr>
        <w:t xml:space="preserve">predator </w:t>
      </w:r>
      <w:r w:rsidR="00A630FE">
        <w:rPr>
          <w:rFonts w:ascii="Times New Roman" w:hAnsi="Times New Roman" w:cs="Times New Roman"/>
        </w:rPr>
        <w:t xml:space="preserve">species </w:t>
      </w:r>
      <w:r w:rsidR="001D7A89">
        <w:rPr>
          <w:rFonts w:ascii="Times New Roman" w:hAnsi="Times New Roman" w:cs="Times New Roman"/>
        </w:rPr>
        <w:t xml:space="preserve">as a predictor, </w:t>
      </w:r>
      <w:r w:rsidR="00B247E4">
        <w:rPr>
          <w:rFonts w:ascii="Times New Roman" w:hAnsi="Times New Roman" w:cs="Times New Roman"/>
        </w:rPr>
        <w:t>with</w:t>
      </w:r>
      <w:r w:rsidR="007E551F">
        <w:rPr>
          <w:rFonts w:ascii="Times New Roman" w:hAnsi="Times New Roman" w:cs="Times New Roman"/>
        </w:rPr>
        <w:t xml:space="preserve"> 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F5462F">
        <w:rPr>
          <w:rFonts w:ascii="Times New Roman" w:hAnsi="Times New Roman" w:cs="Times New Roman"/>
        </w:rPr>
        <w:t>6</w:t>
      </w:r>
      <w:r w:rsidR="006B2220">
        <w:rPr>
          <w:rFonts w:ascii="Times New Roman" w:hAnsi="Times New Roman" w:cs="Times New Roman"/>
        </w:rPr>
        <w:t xml:space="preserve">). </w:t>
      </w:r>
    </w:p>
    <w:p w14:paraId="59A0BBB1" w14:textId="3A76A2A9" w:rsidR="0040503F" w:rsidRDefault="0040503F" w:rsidP="00DE5902">
      <w:pPr>
        <w:spacing w:line="360" w:lineRule="auto"/>
        <w:rPr>
          <w:rFonts w:ascii="Times New Roman" w:hAnsi="Times New Roman" w:cs="Times New Roman"/>
        </w:rPr>
      </w:pPr>
    </w:p>
    <w:p w14:paraId="744B0D3A" w14:textId="084BD26B" w:rsidR="00B701CD" w:rsidRDefault="00B701CD" w:rsidP="00DE5902">
      <w:pPr>
        <w:spacing w:line="360" w:lineRule="auto"/>
        <w:rPr>
          <w:rFonts w:ascii="Times New Roman" w:hAnsi="Times New Roman" w:cs="Times New Roman"/>
          <w:b/>
          <w:bCs/>
        </w:rPr>
      </w:pPr>
      <w:r>
        <w:rPr>
          <w:rFonts w:ascii="Times New Roman" w:hAnsi="Times New Roman" w:cs="Times New Roman"/>
          <w:b/>
          <w:bCs/>
        </w:rPr>
        <w:t>Discussion</w:t>
      </w:r>
    </w:p>
    <w:p w14:paraId="3F4426EF" w14:textId="6C5317CA" w:rsidR="0012525B" w:rsidRDefault="0012525B" w:rsidP="00DE5902">
      <w:pPr>
        <w:spacing w:line="36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Web","type":"book","volume":"42"},"uris":["http://www.mendeley.com/documents/?uuid=8ab34f96-4f34-4e55-bc8f-c3a5b3d1b737"]}],"mendeley":{"formattedCitation":"(McLaughlin et al., 2010; Polis, 1991)","plainTextFormattedCitation":"(McLaughlin et al., 2010; Polis, 1991)","previouslyFormattedCitation":"(McLaughlin et al., 2010; Polis, 1991)"},"properties":{"noteIndex":0},"schema":"https://github.com/citation-style-language/schema/raw/master/csl-citation.json"}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(McLaughlin et al., 2010; Polis, 1991)</w:t>
      </w:r>
      <w:r w:rsidR="00BC4812">
        <w:rPr>
          <w:rFonts w:ascii="Times New Roman" w:hAnsi="Times New Roman" w:cs="Times New Roman"/>
        </w:rPr>
        <w:fldChar w:fldCharType="end"/>
      </w:r>
      <w:r w:rsidR="00D662CB">
        <w:rPr>
          <w:rFonts w:ascii="Times New Roman" w:hAnsi="Times New Roman" w:cs="Times New Roman"/>
        </w:rPr>
        <w:t>. By combining diet DNA metabarcoding data with community 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w:t>
      </w:r>
      <w:r w:rsidR="006C390E">
        <w:rPr>
          <w:rFonts w:ascii="Times New Roman" w:hAnsi="Times New Roman" w:cs="Times New Roman"/>
        </w:rPr>
        <w:lastRenderedPageBreak/>
        <w:t xml:space="preserve">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7E551F">
        <w:rPr>
          <w:rFonts w:ascii="Times New Roman" w:hAnsi="Times New Roman" w:cs="Times New Roman"/>
        </w:rPr>
        <w:t xml:space="preserve">predator phylogeny, </w:t>
      </w:r>
      <w:r w:rsidR="00C06275">
        <w:rPr>
          <w:rFonts w:ascii="Times New Roman" w:hAnsi="Times New Roman" w:cs="Times New Roman"/>
        </w:rPr>
        <w:t>specifically 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activity or tools (e.g. webs and venom) 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Rather, 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DE5902">
      <w:pPr>
        <w:spacing w:line="360" w:lineRule="auto"/>
        <w:rPr>
          <w:rFonts w:ascii="Times New Roman" w:hAnsi="Times New Roman" w:cs="Times New Roman"/>
        </w:rPr>
      </w:pPr>
    </w:p>
    <w:p w14:paraId="0A71C3ED" w14:textId="220F9EFA" w:rsidR="00BB56FC" w:rsidRDefault="007B5BB4" w:rsidP="00DE5902">
      <w:pPr>
        <w:spacing w:line="36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6058A6">
        <w:rPr>
          <w:rFonts w:ascii="Times New Roman" w:hAnsi="Times New Roman" w:cs="Times New Roman"/>
        </w:rPr>
        <w:t xml:space="preserve">have smaller prey items on average 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or, more broadly, </w:t>
      </w:r>
      <w:r w:rsidR="00A0297E">
        <w:rPr>
          <w:rFonts w:ascii="Times New Roman" w:hAnsi="Times New Roman" w:cs="Times New Roman"/>
        </w:rPr>
        <w:t xml:space="preserve">potentially to </w:t>
      </w:r>
      <w:r w:rsidR="004239D4">
        <w:rPr>
          <w:rFonts w:ascii="Times New Roman" w:hAnsi="Times New Roman" w:cs="Times New Roman"/>
        </w:rPr>
        <w:t>predator traits</w:t>
      </w:r>
      <w:r w:rsidR="007E4195">
        <w:rPr>
          <w:rFonts w:ascii="Times New Roman" w:hAnsi="Times New Roman" w:cs="Times New Roman"/>
        </w:rPr>
        <w:t xml:space="preserve"> related to</w:t>
      </w:r>
      <w:r w:rsidR="007E551F">
        <w:rPr>
          <w:rFonts w:ascii="Times New Roman" w:hAnsi="Times New Roman" w:cs="Times New Roman"/>
        </w:rPr>
        <w:t xml:space="preserve"> prey</w:t>
      </w:r>
      <w:r w:rsidR="007E4195">
        <w:rPr>
          <w:rFonts w:ascii="Times New Roman" w:hAnsi="Times New Roman" w:cs="Times New Roman"/>
        </w:rPr>
        <w:t xml:space="preserve"> </w:t>
      </w:r>
      <w:r w:rsidR="007E551F">
        <w:rPr>
          <w:rFonts w:ascii="Times New Roman" w:hAnsi="Times New Roman" w:cs="Times New Roman"/>
        </w:rPr>
        <w:t>handling and attack efficiency</w:t>
      </w:r>
      <w:r w:rsidR="004239D4">
        <w:rPr>
          <w:rFonts w:ascii="Times New Roman" w:hAnsi="Times New Roman" w:cs="Times New Roman"/>
        </w:rPr>
        <w:t xml:space="preserve">. </w:t>
      </w:r>
      <w:r w:rsidR="00015822">
        <w:rPr>
          <w:rFonts w:ascii="Times New Roman" w:hAnsi="Times New Roman" w:cs="Times New Roman"/>
        </w:rPr>
        <w:t>Although</w:t>
      </w:r>
      <w:r w:rsidR="00241D90">
        <w:rPr>
          <w:rFonts w:ascii="Times New Roman" w:hAnsi="Times New Roman" w:cs="Times New Roman"/>
        </w:rPr>
        <w:t xml:space="preserve"> these traits (body size and </w:t>
      </w:r>
      <w:r w:rsidR="007E551F">
        <w:rPr>
          <w:rFonts w:ascii="Times New Roman" w:hAnsi="Times New Roman" w:cs="Times New Roman"/>
        </w:rPr>
        <w:t>handling efficiency</w:t>
      </w:r>
      <w:r w:rsidR="00241D90">
        <w:rPr>
          <w:rFonts w:ascii="Times New Roman" w:hAnsi="Times New Roman" w:cs="Times New Roman"/>
        </w:rPr>
        <w:t xml:space="preserve">) may vary across individuals within a species over </w:t>
      </w:r>
      <w:r w:rsidR="00A0297E">
        <w:rPr>
          <w:rFonts w:ascii="Times New Roman" w:hAnsi="Times New Roman" w:cs="Times New Roman"/>
        </w:rPr>
        <w:t>life stages</w:t>
      </w:r>
      <w:r w:rsidR="00241D90">
        <w:rPr>
          <w:rFonts w:ascii="Times New Roman" w:hAnsi="Times New Roman" w:cs="Times New Roman"/>
        </w:rPr>
        <w:t xml:space="preserve">,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7E551F">
        <w:rPr>
          <w:rFonts w:ascii="Times New Roman" w:hAnsi="Times New Roman" w:cs="Times New Roman"/>
        </w:rPr>
        <w:t xml:space="preserve"> may be</w:t>
      </w:r>
      <w:r w:rsidR="001D047C">
        <w:rPr>
          <w:rFonts w:ascii="Times New Roman" w:hAnsi="Times New Roman" w:cs="Times New Roman"/>
        </w:rPr>
        <w:t xml:space="preserve"> </w:t>
      </w:r>
      <w:r w:rsidR="00241D90">
        <w:rPr>
          <w:rFonts w:ascii="Times New Roman" w:hAnsi="Times New Roman" w:cs="Times New Roman"/>
        </w:rPr>
        <w:t xml:space="preserve">conserved across life stages, lending credence to phylogenetic approaches to inferring feeding interactions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r w:rsidR="007E551F">
        <w:rPr>
          <w:rFonts w:ascii="Times New Roman" w:hAnsi="Times New Roman" w:cs="Times New Roman"/>
        </w:rPr>
        <w:t xml:space="preserve"> While we did not see evidence that these phylogenetically constrained traits were specifically related to tools such as webs or venom, determining what allows predators to relax size constraints is a fruitful area of future study. </w:t>
      </w:r>
    </w:p>
    <w:p w14:paraId="508475CC" w14:textId="0CA07E0F" w:rsidR="00BB56FC" w:rsidRDefault="00BB56FC" w:rsidP="00DE5902">
      <w:pPr>
        <w:spacing w:line="360" w:lineRule="auto"/>
        <w:rPr>
          <w:rFonts w:ascii="Times New Roman" w:hAnsi="Times New Roman" w:cs="Times New Roman"/>
        </w:rPr>
      </w:pPr>
    </w:p>
    <w:p w14:paraId="1D4CECDB" w14:textId="461F6C52" w:rsidR="00996427" w:rsidRPr="00996427" w:rsidRDefault="00BB56FC" w:rsidP="00DE5902">
      <w:pPr>
        <w:spacing w:line="360" w:lineRule="auto"/>
        <w:rPr>
          <w:rFonts w:ascii="Times New Roman" w:hAnsi="Times New Roman" w:cs="Times New Roman"/>
        </w:rPr>
      </w:pPr>
      <w:r>
        <w:rPr>
          <w:rFonts w:ascii="Times New Roman" w:hAnsi="Times New Roman" w:cs="Times New Roman"/>
        </w:rPr>
        <w:t xml:space="preserve">Traits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function","type":"article-journal","volume":"319"},"uris":["http://www.mendeley.com/documents/?uuid=73052aeb-11a1-4150-9585-e9589cd98b1b"]}],"mendeley":{"formattedCitation":"(Laigle et al., 2018; Schmitz, 2008, 2009)","plainTextFormattedCitation":"(Laigle et al., 2018; Schmitz, 2008, 2009)","previouslyFormattedCitation":"(Laigle et al., 2018; Schmitz, 2008, 2009)"},"properties":{"noteIndex":0},"schema":"https://github.com/citation-style-language/schema/raw/master/csl-citation.json"}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(Laigle et al., 2018; Schmitz, 2008, 2009)</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w:t>
      </w:r>
      <w:r w:rsidR="00996427">
        <w:rPr>
          <w:rFonts w:ascii="Times New Roman" w:hAnsi="Times New Roman" w:cs="Times New Roman"/>
        </w:rPr>
        <w:lastRenderedPageBreak/>
        <w:t>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interactions. </w:t>
      </w:r>
      <w:r w:rsidR="00CB3F28">
        <w:rPr>
          <w:rFonts w:ascii="Times New Roman" w:hAnsi="Times New Roman" w:cs="Times New Roman"/>
        </w:rPr>
        <w:t>It</w:t>
      </w:r>
      <w:r w:rsidR="0011190E">
        <w:rPr>
          <w:rFonts w:ascii="Times New Roman" w:hAnsi="Times New Roman" w:cs="Times New Roman"/>
        </w:rPr>
        <w:t xml:space="preserve"> may be that</w:t>
      </w:r>
      <w:r w:rsidR="00AE1277">
        <w:rPr>
          <w:rFonts w:ascii="Times New Roman" w:hAnsi="Times New Roman" w:cs="Times New Roman"/>
        </w:rPr>
        <w:t xml:space="preserve"> particular</w:t>
      </w:r>
      <w:r w:rsidR="0011190E">
        <w:rPr>
          <w:rFonts w:ascii="Times New Roman" w:hAnsi="Times New Roman" w:cs="Times New Roman"/>
        </w:rPr>
        <w:t xml:space="preserve"> invertebrate predators rely on scavenging as opposed to active predation, a phenomenon which may explain why the presumed predator earwig in our dataset (</w:t>
      </w:r>
      <w:r w:rsidR="0011190E">
        <w:rPr>
          <w:rFonts w:ascii="Times New Roman" w:hAnsi="Times New Roman" w:cs="Times New Roman"/>
          <w:i/>
          <w:iCs/>
        </w:rPr>
        <w:t xml:space="preserve">E. </w:t>
      </w:r>
      <w:proofErr w:type="spellStart"/>
      <w:r w:rsidR="0011190E">
        <w:rPr>
          <w:rFonts w:ascii="Times New Roman" w:hAnsi="Times New Roman" w:cs="Times New Roman"/>
          <w:i/>
          <w:iCs/>
        </w:rPr>
        <w:t>annulipes</w:t>
      </w:r>
      <w:proofErr w:type="spellEnd"/>
      <w:r w:rsidR="0011190E">
        <w:rPr>
          <w:rFonts w:ascii="Times New Roman" w:hAnsi="Times New Roman" w:cs="Times New Roman"/>
        </w:rPr>
        <w:t xml:space="preserve">), which uses neither venom or webs, fed on relatively large prey (mean ± standard error of predator-prey mass ratio = </w:t>
      </w:r>
      <w:r w:rsidR="0011190E" w:rsidRPr="00BF7A8B">
        <w:rPr>
          <w:rFonts w:ascii="Times New Roman" w:hAnsi="Times New Roman" w:cs="Times New Roman"/>
        </w:rPr>
        <w:t>4.35</w:t>
      </w:r>
      <w:r w:rsidR="0011190E">
        <w:rPr>
          <w:rFonts w:ascii="Times New Roman" w:hAnsi="Times New Roman" w:cs="Times New Roman"/>
        </w:rPr>
        <w:t xml:space="preserve"> ± 1.99:1) </w:t>
      </w:r>
      <w:r w:rsidR="0011190E">
        <w:rPr>
          <w:rFonts w:ascii="Times New Roman" w:hAnsi="Times New Roman" w:cs="Times New Roman"/>
        </w:rPr>
        <w:fldChar w:fldCharType="begin" w:fldLock="1"/>
      </w:r>
      <w:r w:rsidR="0011190E">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11190E">
        <w:rPr>
          <w:rFonts w:ascii="Times New Roman" w:hAnsi="Times New Roman" w:cs="Times New Roman"/>
        </w:rPr>
        <w:fldChar w:fldCharType="separate"/>
      </w:r>
      <w:r w:rsidR="0011190E" w:rsidRPr="00D86047">
        <w:rPr>
          <w:rFonts w:ascii="Times New Roman" w:hAnsi="Times New Roman" w:cs="Times New Roman"/>
          <w:noProof/>
        </w:rPr>
        <w:t>(Wilson &amp; Wolkovich, 2011)</w:t>
      </w:r>
      <w:r w:rsidR="0011190E">
        <w:rPr>
          <w:rFonts w:ascii="Times New Roman" w:hAnsi="Times New Roman" w:cs="Times New Roman"/>
        </w:rPr>
        <w:fldChar w:fldCharType="end"/>
      </w:r>
      <w:r w:rsidR="0011190E">
        <w:rPr>
          <w:rFonts w:ascii="Times New Roman" w:hAnsi="Times New Roman" w:cs="Times New Roman"/>
        </w:rPr>
        <w:t>.</w:t>
      </w:r>
      <w:r w:rsidR="00CB3F28" w:rsidRPr="00CB3F28">
        <w:rPr>
          <w:rFonts w:ascii="Times New Roman" w:hAnsi="Times New Roman" w:cs="Times New Roman"/>
        </w:rPr>
        <w:t xml:space="preserve"> </w:t>
      </w:r>
      <w:r w:rsidR="00CB3F28">
        <w:rPr>
          <w:rFonts w:ascii="Times New Roman" w:hAnsi="Times New Roman" w:cs="Times New Roman"/>
        </w:rPr>
        <w:t xml:space="preserve">Or it may be that these interactions are more dictated by prey as opposed to predator traits (e.g. predator-prey matching, </w:t>
      </w:r>
      <w:r w:rsidR="00CB3F28">
        <w:rPr>
          <w:rFonts w:ascii="Times New Roman" w:hAnsi="Times New Roman" w:cs="Times New Roman"/>
        </w:rPr>
        <w:fldChar w:fldCharType="begin" w:fldLock="1"/>
      </w:r>
      <w:r w:rsidR="00CB3F28">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CB3F28">
        <w:rPr>
          <w:rFonts w:ascii="Times New Roman" w:hAnsi="Times New Roman" w:cs="Times New Roman"/>
        </w:rPr>
        <w:fldChar w:fldCharType="separate"/>
      </w:r>
      <w:r w:rsidR="00CB3F28" w:rsidRPr="00AE1277">
        <w:rPr>
          <w:rFonts w:ascii="Times New Roman" w:hAnsi="Times New Roman" w:cs="Times New Roman"/>
          <w:noProof/>
        </w:rPr>
        <w:t>Gravel et al., 2013; Pomeranz et al., 2019)</w:t>
      </w:r>
      <w:r w:rsidR="00CB3F28">
        <w:rPr>
          <w:rFonts w:ascii="Times New Roman" w:hAnsi="Times New Roman" w:cs="Times New Roman"/>
        </w:rPr>
        <w:fldChar w:fldCharType="end"/>
      </w:r>
      <w:r w:rsidR="00CB3F28">
        <w:rPr>
          <w:rFonts w:ascii="Times New Roman" w:hAnsi="Times New Roman" w:cs="Times New Roman"/>
        </w:rPr>
        <w:t xml:space="preserve">. </w:t>
      </w:r>
      <w:r w:rsidR="0011190E">
        <w:rPr>
          <w:rFonts w:ascii="Times New Roman" w:hAnsi="Times New Roman" w:cs="Times New Roman"/>
        </w:rPr>
        <w:t xml:space="preserve"> </w:t>
      </w:r>
      <w:r w:rsidR="00991E0D">
        <w:rPr>
          <w:rFonts w:ascii="Times New Roman" w:hAnsi="Times New Roman" w:cs="Times New Roman"/>
        </w:rPr>
        <w:t>While it may be unclear which traits or species attributes mediate prey size selection in invertebrate predators, a</w:t>
      </w:r>
      <w:r w:rsidR="0011190E">
        <w:rPr>
          <w:rFonts w:ascii="Times New Roman" w:hAnsi="Times New Roman" w:cs="Times New Roman"/>
        </w:rPr>
        <w:t xml:space="preserve">lmost a quarter (24% or 72/305) of the interactions in our dataset occurred with larger prey than predators, violating assumptions that predators generally eat prey smaller than themselves </w:t>
      </w:r>
      <w:r w:rsidR="0011190E">
        <w:rPr>
          <w:rFonts w:ascii="Times New Roman" w:hAnsi="Times New Roman" w:cs="Times New Roman"/>
        </w:rPr>
        <w:fldChar w:fldCharType="begin" w:fldLock="1"/>
      </w:r>
      <w:r w:rsidR="00991E0D">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Ohba, &amp; Ushio, 2013)","plainTextFormattedCitation":"(Nakazawa, Ohba, &amp; Ushio, 2013)","previouslyFormattedCitation":"(Nakazawa, Ohba, &amp; Ushio, 2013)"},"properties":{"noteIndex":0},"schema":"https://github.com/citation-style-language/schema/raw/master/csl-citation.json"}</w:instrText>
      </w:r>
      <w:r w:rsidR="0011190E">
        <w:rPr>
          <w:rFonts w:ascii="Times New Roman" w:hAnsi="Times New Roman" w:cs="Times New Roman"/>
        </w:rPr>
        <w:fldChar w:fldCharType="separate"/>
      </w:r>
      <w:r w:rsidR="0011190E" w:rsidRPr="0011190E">
        <w:rPr>
          <w:rFonts w:ascii="Times New Roman" w:hAnsi="Times New Roman" w:cs="Times New Roman"/>
          <w:noProof/>
        </w:rPr>
        <w:t>(Nakazawa, Ohba, &amp; Ushio, 2013)</w:t>
      </w:r>
      <w:r w:rsidR="0011190E">
        <w:rPr>
          <w:rFonts w:ascii="Times New Roman" w:hAnsi="Times New Roman" w:cs="Times New Roman"/>
        </w:rPr>
        <w:fldChar w:fldCharType="end"/>
      </w:r>
      <w:r w:rsidR="0011190E">
        <w:rPr>
          <w:rFonts w:ascii="Times New Roman" w:hAnsi="Times New Roman" w:cs="Times New Roman"/>
        </w:rPr>
        <w:t>. These patterns may highlight distinct rules governing predator-prey interactions of small-bodied consumers</w:t>
      </w:r>
      <w:r w:rsidR="00991E0D">
        <w:rPr>
          <w:rFonts w:ascii="Times New Roman" w:hAnsi="Times New Roman" w:cs="Times New Roman"/>
        </w:rPr>
        <w:t xml:space="preserve"> with implications for biomass cycling and food web dynamics </w:t>
      </w:r>
      <w:r w:rsidR="00991E0D">
        <w:rPr>
          <w:rFonts w:ascii="Times New Roman" w:hAnsi="Times New Roman" w:cs="Times New Roman"/>
        </w:rPr>
        <w:fldChar w:fldCharType="begin" w:fldLock="1"/>
      </w:r>
      <w:r w:rsidR="00DD5E3C">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2008)","plainTextFormattedCitation":"(Schmitz, 2008)","previouslyFormattedCitation":"(Schmitz, 2008)"},"properties":{"noteIndex":0},"schema":"https://github.com/citation-style-language/schema/raw/master/csl-citation.json"}</w:instrText>
      </w:r>
      <w:r w:rsidR="00991E0D">
        <w:rPr>
          <w:rFonts w:ascii="Times New Roman" w:hAnsi="Times New Roman" w:cs="Times New Roman"/>
        </w:rPr>
        <w:fldChar w:fldCharType="separate"/>
      </w:r>
      <w:r w:rsidR="00991E0D" w:rsidRPr="00991E0D">
        <w:rPr>
          <w:rFonts w:ascii="Times New Roman" w:hAnsi="Times New Roman" w:cs="Times New Roman"/>
          <w:noProof/>
        </w:rPr>
        <w:t>(Schmitz, 2008)</w:t>
      </w:r>
      <w:r w:rsidR="00991E0D">
        <w:rPr>
          <w:rFonts w:ascii="Times New Roman" w:hAnsi="Times New Roman" w:cs="Times New Roman"/>
        </w:rPr>
        <w:fldChar w:fldCharType="end"/>
      </w:r>
      <w:r w:rsidR="00991E0D">
        <w:rPr>
          <w:rFonts w:ascii="Times New Roman" w:hAnsi="Times New Roman" w:cs="Times New Roman"/>
        </w:rPr>
        <w:t>.</w:t>
      </w:r>
    </w:p>
    <w:p w14:paraId="7E9D502B" w14:textId="1B5B2946" w:rsidR="006F01DF" w:rsidRDefault="006F01DF" w:rsidP="00DE5902">
      <w:pPr>
        <w:spacing w:line="360" w:lineRule="auto"/>
        <w:rPr>
          <w:rFonts w:ascii="Times New Roman" w:hAnsi="Times New Roman" w:cs="Times New Roman"/>
        </w:rPr>
      </w:pPr>
    </w:p>
    <w:p w14:paraId="27A7D621" w14:textId="53541303" w:rsidR="009537C6" w:rsidRDefault="006F01DF" w:rsidP="00DE5902">
      <w:pPr>
        <w:spacing w:line="36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application","type":"article-journal","volume":"17"},"uris":["http://www.mendeley.com/documents/?uuid=b6ec3427-e89d-4e1b-ab29-b91c91ce59bc"]}],"mendeley":{"formattedCitation":"(Baker, Buckland, &amp; Sheaves, 2014; Duffy &amp; Jackson, 1986; Hyslop, 1980)","plainTextFormattedCitation":"(Baker, Buckland, &amp; Sheaves, 2014; Duffy &amp; Jackson, 1986; Hyslop, 1980)","previouslyFormattedCitation":"(Baker, Buckland, &amp; Sheaves, 2014; Duffy &amp; Jackson, 1986; Hyslop, 1980)"},"properties":{"noteIndex":0},"schema":"https://github.com/citation-style-language/schema/raw/master/csl-citation.json"}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(Baker, Buckland, &amp; Sheaves, 2014; Duffy &amp; Jackson, 1986; Hyslop, 1980)</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(Porter &amp;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&amp; Leese, 2015; Elbrecht, Peinert, &amp; Leese, 2017)","plainTextFormattedCitation":"(Elbrecht &amp; Leese, 2015; Elbrecht, Peinert, &amp; Leese, 2017)","previouslyFormattedCitation":"(Elbrecht &amp; Leese, 2015; Elbrecht, Peinert, &amp; Leese, 2017)"},"properties":{"noteIndex":0},"schema":"https://github.com/citation-style-language/schema/raw/master/csl-citation.json"}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(Elbrecht &amp; Leese, 2015; Elbrecht, Peinert, &amp; Leese,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8F284B">
        <w:rPr>
          <w:rFonts w:ascii="Times New Roman" w:hAnsi="Times New Roman" w:cs="Times New Roman"/>
        </w:rPr>
        <w:t xml:space="preserve"> or determine preferences for live versus dead prey </w:t>
      </w:r>
      <w:r w:rsidR="008F284B">
        <w:rPr>
          <w:rFonts w:ascii="Times New Roman" w:hAnsi="Times New Roman" w:cs="Times New Roman"/>
        </w:rPr>
        <w:fldChar w:fldCharType="begin" w:fldLock="1"/>
      </w:r>
      <w:r w:rsidR="00910062">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8F284B">
        <w:rPr>
          <w:rFonts w:ascii="Times New Roman" w:hAnsi="Times New Roman" w:cs="Times New Roman"/>
        </w:rPr>
        <w:fldChar w:fldCharType="separate"/>
      </w:r>
      <w:r w:rsidR="008F284B" w:rsidRPr="008F284B">
        <w:rPr>
          <w:rFonts w:ascii="Times New Roman" w:hAnsi="Times New Roman" w:cs="Times New Roman"/>
          <w:noProof/>
        </w:rPr>
        <w:t>(Wilson &amp;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w:t>
      </w:r>
      <w:r w:rsidR="008F284B">
        <w:rPr>
          <w:rFonts w:ascii="Times New Roman" w:hAnsi="Times New Roman" w:cs="Times New Roman"/>
        </w:rPr>
        <w:lastRenderedPageBreak/>
        <w:t>racemization to determine time since prey death, could help determine the age or size of prey and 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Clare, Hayden, Brett, &amp; Kratina, 2018)","plainTextFormattedCitation":"(Jarman et al., 2015; Macías-Hernández et al., 2018; Nielsen, Clare, Hayden, Brett, &amp; Kratina, 2018)","previouslyFormattedCitation":"(Jarman et al., 2015; Macías-Hernández et al., 2018; Nielsen, Clare, Hayden, Brett, &amp; Kratina, 2018)"},"properties":{"noteIndex":0},"schema":"https://github.com/citation-style-language/schema/raw/master/csl-citation.json"}</w:instrText>
      </w:r>
      <w:r w:rsidR="00443203">
        <w:rPr>
          <w:rFonts w:ascii="Times New Roman" w:hAnsi="Times New Roman" w:cs="Times New Roman"/>
        </w:rPr>
        <w:fldChar w:fldCharType="separate"/>
      </w:r>
      <w:r w:rsidR="008F284B" w:rsidRPr="008F284B">
        <w:rPr>
          <w:rFonts w:ascii="Times New Roman" w:hAnsi="Times New Roman" w:cs="Times New Roman"/>
          <w:noProof/>
        </w:rPr>
        <w:t>(Jarman et al., 2015; Macías-Hernández et al., 2018; Nielsen, Clare, Hayden, Brett, &amp; Kratina,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DE5902">
      <w:pPr>
        <w:spacing w:line="360" w:lineRule="auto"/>
        <w:rPr>
          <w:rFonts w:ascii="Times New Roman" w:hAnsi="Times New Roman" w:cs="Times New Roman"/>
        </w:rPr>
      </w:pPr>
    </w:p>
    <w:p w14:paraId="3178D174" w14:textId="0DDCEE95" w:rsidR="004F2733" w:rsidRDefault="004F2733" w:rsidP="00DE5902">
      <w:pPr>
        <w:spacing w:line="360" w:lineRule="auto"/>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extinct?","type":"article-journal","volume":"339"},"uris":["http://www.mendeley.com/documents/?uuid=32c304d3-8a3c-41b4-bfc6-42849ea06fab"]}],"mendeley":{"formattedCitation":"(Bar-On et al., 2018; Costello et al., 2013; Mora et al., 2011)","plainTextFormattedCitation":"(Bar-On et al., 2018; Costello et al., 2013; Mora et al., 2011)","previouslyFormattedCitation":"(Bar-On et al., 2018; Costello et al., 2013; Mora et al., 2011)"},"properties":{"noteIndex":0},"schema":"https://github.com/citation-style-language/schema/raw/master/csl-citation.json"}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(Bar-On et al., 2018; Costello et al., 2013; Mora et al., 2011)</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&amp; Ebenman, 2006; Donohue et al., 2017; Valiente-Banuet et al., 2015)","plainTextFormattedCitation":"(Borrvall &amp; Ebenman, 2006; Donohue et al., 2017; Valiente-Banuet et al., 2015)","previouslyFormattedCitation":"(Borrvall &amp; Ebenman, 2006; Donohue et al., 2017; Valiente-Banuet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(Borrvall &amp; Ebenman, 2006; Donohue et al., 2017; Valiente-Banuet et al., 2015)</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277">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DD5E3C" w:rsidRPr="00DD5E3C">
        <w:rPr>
          <w:rFonts w:ascii="Times New Roman" w:hAnsi="Times New Roman" w:cs="Times New Roman"/>
          <w:noProof/>
        </w:rPr>
        <w:t>(Desquilbet et al., 2020; van Klink et al., 2020)</w:t>
      </w:r>
      <w:r w:rsidR="00DD5E3C">
        <w:rPr>
          <w:rFonts w:ascii="Times New Roman" w:hAnsi="Times New Roman" w:cs="Times New Roman"/>
        </w:rPr>
        <w:fldChar w:fldCharType="end"/>
      </w:r>
      <w:r w:rsidR="002E7DF4">
        <w:rPr>
          <w:rFonts w:ascii="Times New Roman" w:hAnsi="Times New Roman" w:cs="Times New Roman"/>
        </w:rPr>
        <w:t xml:space="preserve">, studies like the present, conducted in multiple localities, are warranted.  </w:t>
      </w:r>
    </w:p>
    <w:p w14:paraId="1D0D7745" w14:textId="77777777" w:rsidR="00E92E10" w:rsidRPr="00E92E10" w:rsidRDefault="00E92E10" w:rsidP="00DE5902">
      <w:pPr>
        <w:spacing w:line="360" w:lineRule="auto"/>
        <w:rPr>
          <w:rFonts w:ascii="Times New Roman" w:hAnsi="Times New Roman" w:cs="Times New Roman"/>
        </w:rPr>
      </w:pPr>
    </w:p>
    <w:p w14:paraId="080FF805" w14:textId="61948BBF" w:rsidR="000D2CA0" w:rsidRDefault="00B701CD" w:rsidP="00DE5902">
      <w:pPr>
        <w:spacing w:line="360" w:lineRule="auto"/>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DE5902">
      <w:pPr>
        <w:spacing w:line="360" w:lineRule="auto"/>
        <w:rPr>
          <w:rFonts w:ascii="Times New Roman" w:hAnsi="Times New Roman" w:cs="Times New Roman"/>
          <w:b/>
          <w:bCs/>
        </w:rPr>
      </w:pPr>
    </w:p>
    <w:p w14:paraId="15C861D0" w14:textId="1A40E103" w:rsidR="00910062" w:rsidRPr="00910062" w:rsidRDefault="0030417C" w:rsidP="00DE5902">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910062" w:rsidRPr="00910062">
        <w:rPr>
          <w:rFonts w:ascii="Times New Roman" w:hAnsi="Times New Roman" w:cs="Times New Roman"/>
          <w:noProof/>
        </w:rPr>
        <w:t xml:space="preserve">Baker, R., Buckland, A., &amp; Sheaves, M. (2014). Fish gut content analysis: Robust measures of diet composition. </w:t>
      </w:r>
      <w:r w:rsidR="00910062" w:rsidRPr="00910062">
        <w:rPr>
          <w:rFonts w:ascii="Times New Roman" w:hAnsi="Times New Roman" w:cs="Times New Roman"/>
          <w:i/>
          <w:iCs/>
          <w:noProof/>
        </w:rPr>
        <w:t>Fish and Fisheries</w:t>
      </w:r>
      <w:r w:rsidR="00910062" w:rsidRPr="00910062">
        <w:rPr>
          <w:rFonts w:ascii="Times New Roman" w:hAnsi="Times New Roman" w:cs="Times New Roman"/>
          <w:noProof/>
        </w:rPr>
        <w:t xml:space="preserve">, </w:t>
      </w:r>
      <w:r w:rsidR="00910062" w:rsidRPr="00910062">
        <w:rPr>
          <w:rFonts w:ascii="Times New Roman" w:hAnsi="Times New Roman" w:cs="Times New Roman"/>
          <w:i/>
          <w:iCs/>
          <w:noProof/>
        </w:rPr>
        <w:t>15</w:t>
      </w:r>
      <w:r w:rsidR="00910062" w:rsidRPr="00910062">
        <w:rPr>
          <w:rFonts w:ascii="Times New Roman" w:hAnsi="Times New Roman" w:cs="Times New Roman"/>
          <w:noProof/>
        </w:rPr>
        <w:t>(1), 170–177. doi: 10.1111/faf.12026</w:t>
      </w:r>
    </w:p>
    <w:p w14:paraId="435D2D6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Bar-On, Y. M., Phillips, R., &amp; Milo, R. (2018). The biomass distribution on Earth. </w:t>
      </w:r>
      <w:r w:rsidRPr="00910062">
        <w:rPr>
          <w:rFonts w:ascii="Times New Roman" w:hAnsi="Times New Roman" w:cs="Times New Roman"/>
          <w:i/>
          <w:iCs/>
          <w:noProof/>
        </w:rPr>
        <w:t>Proceedings of the National Academy of Sciences of the United States of America</w:t>
      </w:r>
      <w:r w:rsidRPr="00910062">
        <w:rPr>
          <w:rFonts w:ascii="Times New Roman" w:hAnsi="Times New Roman" w:cs="Times New Roman"/>
          <w:noProof/>
        </w:rPr>
        <w:t xml:space="preserve">, </w:t>
      </w:r>
      <w:r w:rsidRPr="00910062">
        <w:rPr>
          <w:rFonts w:ascii="Times New Roman" w:hAnsi="Times New Roman" w:cs="Times New Roman"/>
          <w:i/>
          <w:iCs/>
          <w:noProof/>
        </w:rPr>
        <w:t>115</w:t>
      </w:r>
      <w:r w:rsidRPr="00910062">
        <w:rPr>
          <w:rFonts w:ascii="Times New Roman" w:hAnsi="Times New Roman" w:cs="Times New Roman"/>
          <w:noProof/>
        </w:rPr>
        <w:t>(25), 6506–6511. doi: 10.1073/pnas.1711842115</w:t>
      </w:r>
    </w:p>
    <w:p w14:paraId="68A45F4D"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Barton, K. (2020). </w:t>
      </w:r>
      <w:r w:rsidRPr="00910062">
        <w:rPr>
          <w:rFonts w:ascii="Times New Roman" w:hAnsi="Times New Roman" w:cs="Times New Roman"/>
          <w:i/>
          <w:iCs/>
          <w:noProof/>
        </w:rPr>
        <w:t>MuMIn: Multi-Model Inference</w:t>
      </w:r>
      <w:r w:rsidRPr="00910062">
        <w:rPr>
          <w:rFonts w:ascii="Times New Roman" w:hAnsi="Times New Roman" w:cs="Times New Roman"/>
          <w:noProof/>
        </w:rPr>
        <w:t>.</w:t>
      </w:r>
    </w:p>
    <w:p w14:paraId="04E8E95D"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Borrvall, C., &amp; Ebenman, B. (2006). Early onset of secondary extinctions in ecological communities following the loss of top predators. </w:t>
      </w:r>
      <w:r w:rsidRPr="00910062">
        <w:rPr>
          <w:rFonts w:ascii="Times New Roman" w:hAnsi="Times New Roman" w:cs="Times New Roman"/>
          <w:i/>
          <w:iCs/>
          <w:noProof/>
        </w:rPr>
        <w:t>Ecology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(4), 435–442. doi: 10.1111/j.1461-0248.2006.00893.x</w:t>
      </w:r>
    </w:p>
    <w:p w14:paraId="764D46D6"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Brodie, J. F., Aslan, C. E., Rogers, H. S., Redford, K. H., Maron, J. L., Bronstein, J. L., &amp; </w:t>
      </w:r>
      <w:r w:rsidRPr="00910062">
        <w:rPr>
          <w:rFonts w:ascii="Times New Roman" w:hAnsi="Times New Roman" w:cs="Times New Roman"/>
          <w:noProof/>
        </w:rPr>
        <w:lastRenderedPageBreak/>
        <w:t xml:space="preserve">Groves, C. R. (2014). Secondary extinctions of biodiversity.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(12), 664–672. doi: 10.1016/j.tree.2014.09.012</w:t>
      </w:r>
    </w:p>
    <w:p w14:paraId="0DA36679"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Brose, U., Archambault, P., Barnes, A. D., Bersier, L. F., Boy, T., Canning-Clode, J., … Iles, A. C. (2019). Predator traits determine food-web architecture across ecosystems. </w:t>
      </w:r>
      <w:r w:rsidRPr="00910062">
        <w:rPr>
          <w:rFonts w:ascii="Times New Roman" w:hAnsi="Times New Roman" w:cs="Times New Roman"/>
          <w:i/>
          <w:iCs/>
          <w:noProof/>
        </w:rPr>
        <w:t>Nature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(6), 919–927. doi: 10.1038/s41559-019-0899-x</w:t>
      </w:r>
    </w:p>
    <w:p w14:paraId="509EE4A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Bui, A., Lowman, H., Guerra, A. S., &amp; Miller-ter Kuile, A. (2020). </w:t>
      </w:r>
      <w:r w:rsidRPr="00910062">
        <w:rPr>
          <w:rFonts w:ascii="Times New Roman" w:hAnsi="Times New Roman" w:cs="Times New Roman"/>
          <w:i/>
          <w:iCs/>
          <w:noProof/>
        </w:rPr>
        <w:t>calecopal: A California-inspired Package of Color Palettes</w:t>
      </w:r>
      <w:r w:rsidRPr="00910062">
        <w:rPr>
          <w:rFonts w:ascii="Times New Roman" w:hAnsi="Times New Roman" w:cs="Times New Roman"/>
          <w:noProof/>
        </w:rPr>
        <w:t>.</w:t>
      </w:r>
    </w:p>
    <w:p w14:paraId="7AB5E8E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Callahan, B. J., McMurdie, P. J., Rosen, M. J., Han, A. W., Johnson, A. J. A., &amp; Holmes, S. P. (2016). DADA2: High-resolution sample inference from Illumina amplicon data. </w:t>
      </w:r>
      <w:r w:rsidRPr="00910062">
        <w:rPr>
          <w:rFonts w:ascii="Times New Roman" w:hAnsi="Times New Roman" w:cs="Times New Roman"/>
          <w:i/>
          <w:iCs/>
          <w:noProof/>
        </w:rPr>
        <w:t>Nature Methods</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(7), 581–583. doi: 10.1038/nmeth.3869</w:t>
      </w:r>
    </w:p>
    <w:p w14:paraId="2FB5B047"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Costello, M. J., May, R. M., &amp; Stork, N. E. (2013). Can we name earth’s species before they go extinct?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339</w:t>
      </w:r>
      <w:r w:rsidRPr="00910062">
        <w:rPr>
          <w:rFonts w:ascii="Times New Roman" w:hAnsi="Times New Roman" w:cs="Times New Roman"/>
          <w:noProof/>
        </w:rPr>
        <w:t>(6118), 413–416. doi: 10.1126/science.1230318</w:t>
      </w:r>
    </w:p>
    <w:p w14:paraId="68386816"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Desquilbet, M., Gaume, L., Grippa, M., Cereghino, R., Humbert, J.-F., Bonmatin, J.-M., … Goulson, D. (2020). Comment on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370</w:t>
      </w:r>
      <w:r w:rsidRPr="00910062">
        <w:rPr>
          <w:rFonts w:ascii="Times New Roman" w:hAnsi="Times New Roman" w:cs="Times New Roman"/>
          <w:noProof/>
        </w:rPr>
        <w:t>, 1–6. doi: 10.1038/304586a0</w:t>
      </w:r>
    </w:p>
    <w:p w14:paraId="56FDFB1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Digel, C., Curtsdotter, A., Riede, J., Klarner, B., &amp; Brose, U. (2014). Unravelling the complex structure of forest soil food webs: Higher omnivory and more trophic levels.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123</w:t>
      </w:r>
      <w:r w:rsidRPr="00910062">
        <w:rPr>
          <w:rFonts w:ascii="Times New Roman" w:hAnsi="Times New Roman" w:cs="Times New Roman"/>
          <w:noProof/>
        </w:rPr>
        <w:t>(10), 1157–1172. doi: 10.1111/oik.00865</w:t>
      </w:r>
    </w:p>
    <w:p w14:paraId="68969F2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Donohue, I., Petchey, O. L., Kéfi, S., Génin, A., Jackson, A. L., Yang, Q., &amp; O’Connor, N. E. (2017). Loss of predator species, not intermediate consumers, triggers rapid and dramatic extinction cascades. </w:t>
      </w:r>
      <w:r w:rsidRPr="00910062">
        <w:rPr>
          <w:rFonts w:ascii="Times New Roman" w:hAnsi="Times New Roman" w:cs="Times New Roman"/>
          <w:i/>
          <w:iCs/>
          <w:noProof/>
        </w:rPr>
        <w:t>Global Change Biology</w:t>
      </w:r>
      <w:r w:rsidRPr="00910062">
        <w:rPr>
          <w:rFonts w:ascii="Times New Roman" w:hAnsi="Times New Roman" w:cs="Times New Roman"/>
          <w:noProof/>
        </w:rPr>
        <w:t xml:space="preserve">, </w:t>
      </w:r>
      <w:r w:rsidRPr="00910062">
        <w:rPr>
          <w:rFonts w:ascii="Times New Roman" w:hAnsi="Times New Roman" w:cs="Times New Roman"/>
          <w:i/>
          <w:iCs/>
          <w:noProof/>
        </w:rPr>
        <w:t>23</w:t>
      </w:r>
      <w:r w:rsidRPr="00910062">
        <w:rPr>
          <w:rFonts w:ascii="Times New Roman" w:hAnsi="Times New Roman" w:cs="Times New Roman"/>
          <w:noProof/>
        </w:rPr>
        <w:t>(8), 2962–2972. doi: 10.1111/gcb.13703</w:t>
      </w:r>
    </w:p>
    <w:p w14:paraId="7564C0C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Duffy, D. C., &amp; Jackson, S. (1986). Diet Studies of Seabirds: A Review of Methods. </w:t>
      </w:r>
      <w:r w:rsidRPr="00910062">
        <w:rPr>
          <w:rFonts w:ascii="Times New Roman" w:hAnsi="Times New Roman" w:cs="Times New Roman"/>
          <w:i/>
          <w:iCs/>
          <w:noProof/>
        </w:rPr>
        <w:t>Colonial Waterbirds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(1), 1–17.</w:t>
      </w:r>
    </w:p>
    <w:p w14:paraId="3543BCA7"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28</w:t>
      </w:r>
      <w:r w:rsidRPr="00910062">
        <w:rPr>
          <w:rFonts w:ascii="Times New Roman" w:hAnsi="Times New Roman" w:cs="Times New Roman"/>
          <w:noProof/>
        </w:rPr>
        <w:t>(2), 266–280. doi: 10.1111/mec.14872</w:t>
      </w:r>
    </w:p>
    <w:p w14:paraId="02A914F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&amp; Leese, F. (2015). Can DNA-based ecosystem assessments quantify species abundance? Testing primer bias and biomass-sequence relationships with an innovative metabarcoding protocol.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(7), 1–16. doi: 10.1371/journal.pone.0130324</w:t>
      </w:r>
    </w:p>
    <w:p w14:paraId="2B96B18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Peinert, B., &amp; Leese, F. (2017). Sorting things out: Assessing effects of unequal </w:t>
      </w:r>
      <w:r w:rsidRPr="00910062">
        <w:rPr>
          <w:rFonts w:ascii="Times New Roman" w:hAnsi="Times New Roman" w:cs="Times New Roman"/>
          <w:noProof/>
        </w:rPr>
        <w:lastRenderedPageBreak/>
        <w:t xml:space="preserve">specimen biomass on DNA metabarcoding.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(17), 6918–6926. doi: 10.1002/ece3.3192</w:t>
      </w:r>
    </w:p>
    <w:p w14:paraId="4F249747"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Gravel, D., Poisot, T., Albouy, C., Velez, L., &amp; Mouillot, D. (2013). Inferring food web structure from predator-prey body size relationships.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4</w:t>
      </w:r>
      <w:r w:rsidRPr="00910062">
        <w:rPr>
          <w:rFonts w:ascii="Times New Roman" w:hAnsi="Times New Roman" w:cs="Times New Roman"/>
          <w:noProof/>
        </w:rPr>
        <w:t>(11), 1083–1090. doi: 10.1111/2041-210X.12103</w:t>
      </w:r>
    </w:p>
    <w:p w14:paraId="49CC6179"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Gray, C., Figueroa, D. H., Hudson, L. N., Ma, A., Perkins, D., &amp; Woodward, G. (2015). Joining the dots: An automated method for constructing food webs from compendia of published interactions. </w:t>
      </w:r>
      <w:r w:rsidRPr="00910062">
        <w:rPr>
          <w:rFonts w:ascii="Times New Roman" w:hAnsi="Times New Roman" w:cs="Times New Roman"/>
          <w:i/>
          <w:iCs/>
          <w:noProof/>
        </w:rPr>
        <w:t>Food Webs</w:t>
      </w:r>
      <w:r w:rsidRPr="00910062">
        <w:rPr>
          <w:rFonts w:ascii="Times New Roman" w:hAnsi="Times New Roman" w:cs="Times New Roman"/>
          <w:noProof/>
        </w:rPr>
        <w:t xml:space="preserve">, </w:t>
      </w:r>
      <w:r w:rsidRPr="00910062">
        <w:rPr>
          <w:rFonts w:ascii="Times New Roman" w:hAnsi="Times New Roman" w:cs="Times New Roman"/>
          <w:i/>
          <w:iCs/>
          <w:noProof/>
        </w:rPr>
        <w:t>5</w:t>
      </w:r>
      <w:r w:rsidRPr="00910062">
        <w:rPr>
          <w:rFonts w:ascii="Times New Roman" w:hAnsi="Times New Roman" w:cs="Times New Roman"/>
          <w:noProof/>
        </w:rPr>
        <w:t>, 11–20. doi: 10.1016/j.fooweb.2015.09.001</w:t>
      </w:r>
    </w:p>
    <w:p w14:paraId="40C44143"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11</w:t>
      </w:r>
      <w:r w:rsidRPr="00910062">
        <w:rPr>
          <w:rFonts w:ascii="Times New Roman" w:hAnsi="Times New Roman" w:cs="Times New Roman"/>
          <w:noProof/>
        </w:rPr>
        <w:t>(2), 286–293. doi: 10.1111/j.1755-0998.2010.02922.x</w:t>
      </w:r>
    </w:p>
    <w:p w14:paraId="44088D2B"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910062">
        <w:rPr>
          <w:rFonts w:ascii="Times New Roman" w:hAnsi="Times New Roman" w:cs="Times New Roman"/>
          <w:i/>
          <w:iCs/>
          <w:noProof/>
        </w:rPr>
        <w:t>Pacific Science</w:t>
      </w:r>
      <w:r w:rsidRPr="00910062">
        <w:rPr>
          <w:rFonts w:ascii="Times New Roman" w:hAnsi="Times New Roman" w:cs="Times New Roman"/>
          <w:noProof/>
        </w:rPr>
        <w:t xml:space="preserve">, </w:t>
      </w:r>
      <w:r w:rsidRPr="00910062">
        <w:rPr>
          <w:rFonts w:ascii="Times New Roman" w:hAnsi="Times New Roman" w:cs="Times New Roman"/>
          <w:i/>
          <w:iCs/>
          <w:noProof/>
        </w:rPr>
        <w:t>61</w:t>
      </w:r>
      <w:r w:rsidRPr="00910062">
        <w:rPr>
          <w:rFonts w:ascii="Times New Roman" w:hAnsi="Times New Roman" w:cs="Times New Roman"/>
          <w:noProof/>
        </w:rPr>
        <w:t>(4), 485–502. doi: 10.2984/1534-6188(2007)61</w:t>
      </w:r>
    </w:p>
    <w:p w14:paraId="171C7EB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Hartig, F. (2020). </w:t>
      </w:r>
      <w:r w:rsidRPr="00910062">
        <w:rPr>
          <w:rFonts w:ascii="Times New Roman" w:hAnsi="Times New Roman" w:cs="Times New Roman"/>
          <w:i/>
          <w:iCs/>
          <w:noProof/>
        </w:rPr>
        <w:t>DHARMa</w:t>
      </w:r>
      <w:r w:rsidRPr="00910062">
        <w:rPr>
          <w:rFonts w:ascii="Times New Roman" w:hAnsi="Times New Roman" w:cs="Times New Roman"/>
          <w:noProof/>
        </w:rPr>
        <w:t>.</w:t>
      </w:r>
    </w:p>
    <w:p w14:paraId="3B351E7F"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Hines, J., Giling, D. P., Rzanny, M., Voigt, W., Meyer, S. T., Weisser, W. W., … Ebeling, A. (2019). A meta food web for invertebrate species collected in a European grassland.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100</w:t>
      </w:r>
      <w:r w:rsidRPr="00910062">
        <w:rPr>
          <w:rFonts w:ascii="Times New Roman" w:hAnsi="Times New Roman" w:cs="Times New Roman"/>
          <w:noProof/>
        </w:rPr>
        <w:t>(6), 2679. doi: 10.1002/ecy.2679</w:t>
      </w:r>
    </w:p>
    <w:p w14:paraId="7FDFD1F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910062">
        <w:rPr>
          <w:rFonts w:ascii="Times New Roman" w:hAnsi="Times New Roman" w:cs="Times New Roman"/>
          <w:i/>
          <w:iCs/>
          <w:noProof/>
        </w:rPr>
        <w:t>Systematic Biology</w:t>
      </w:r>
      <w:r w:rsidRPr="00910062">
        <w:rPr>
          <w:rFonts w:ascii="Times New Roman" w:hAnsi="Times New Roman" w:cs="Times New Roman"/>
          <w:noProof/>
        </w:rPr>
        <w:t xml:space="preserve">, </w:t>
      </w:r>
      <w:r w:rsidRPr="00910062">
        <w:rPr>
          <w:rFonts w:ascii="Times New Roman" w:hAnsi="Times New Roman" w:cs="Times New Roman"/>
          <w:i/>
          <w:iCs/>
          <w:noProof/>
        </w:rPr>
        <w:t>66</w:t>
      </w:r>
      <w:r w:rsidRPr="00910062">
        <w:rPr>
          <w:rFonts w:ascii="Times New Roman" w:hAnsi="Times New Roman" w:cs="Times New Roman"/>
          <w:noProof/>
        </w:rPr>
        <w:t>(1), 100–111. doi: 10.1093/sysbio/syw073</w:t>
      </w:r>
    </w:p>
    <w:p w14:paraId="4885E24B"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Ma, K. H., &amp; Chao, A. (2016). iNEXT: an R package for rarefaction and extrapolation of species diversity (Hill numbers).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(12), 1451–1456. doi: 10.1111/2041-210X.12613</w:t>
      </w:r>
    </w:p>
    <w:p w14:paraId="534725B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Hyslop, E. J. (1980). Stomach contents analysis - a review of methods and their application. </w:t>
      </w:r>
      <w:r w:rsidRPr="00910062">
        <w:rPr>
          <w:rFonts w:ascii="Times New Roman" w:hAnsi="Times New Roman" w:cs="Times New Roman"/>
          <w:i/>
          <w:iCs/>
          <w:noProof/>
        </w:rPr>
        <w:t>Journal of Fish Biology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(4), 411–429. doi: 10.1111/j.1095-8649.1980.tb02775.x</w:t>
      </w:r>
    </w:p>
    <w:p w14:paraId="6B7DFE5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Ings, T. C., Montoya, J. M., Bascompte, J., Bluthgren, N., Brown, L., Dormann, C., … Woodward, G. (2009). Ecological networks - Beyond food webs. </w:t>
      </w:r>
      <w:r w:rsidRPr="00910062">
        <w:rPr>
          <w:rFonts w:ascii="Times New Roman" w:hAnsi="Times New Roman" w:cs="Times New Roman"/>
          <w:i/>
          <w:iCs/>
          <w:noProof/>
        </w:rPr>
        <w:t>Journal of Animal Ecology</w:t>
      </w:r>
      <w:r w:rsidRPr="00910062">
        <w:rPr>
          <w:rFonts w:ascii="Times New Roman" w:hAnsi="Times New Roman" w:cs="Times New Roman"/>
          <w:noProof/>
        </w:rPr>
        <w:t xml:space="preserve">, </w:t>
      </w:r>
      <w:r w:rsidRPr="00910062">
        <w:rPr>
          <w:rFonts w:ascii="Times New Roman" w:hAnsi="Times New Roman" w:cs="Times New Roman"/>
          <w:i/>
          <w:iCs/>
          <w:noProof/>
        </w:rPr>
        <w:t>78</w:t>
      </w:r>
      <w:r w:rsidRPr="00910062">
        <w:rPr>
          <w:rFonts w:ascii="Times New Roman" w:hAnsi="Times New Roman" w:cs="Times New Roman"/>
          <w:noProof/>
        </w:rPr>
        <w:t>(1), 253–269. doi: 10.1111/j.1365-2656.2008.01460.x</w:t>
      </w:r>
    </w:p>
    <w:p w14:paraId="5B9275C4"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Jarman, S. N., Polanowski, A. M., Faux, C. E., Robbins, J., De Paoli-Iseppi, R., Bravington, M., </w:t>
      </w:r>
      <w:r w:rsidRPr="00910062">
        <w:rPr>
          <w:rFonts w:ascii="Times New Roman" w:hAnsi="Times New Roman" w:cs="Times New Roman"/>
          <w:noProof/>
        </w:rPr>
        <w:lastRenderedPageBreak/>
        <w:t xml:space="preserve">&amp; Deagle, B. E. (2015). Molecular biomarkers for chronological age in animal ecology.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24</w:t>
      </w:r>
      <w:r w:rsidRPr="00910062">
        <w:rPr>
          <w:rFonts w:ascii="Times New Roman" w:hAnsi="Times New Roman" w:cs="Times New Roman"/>
          <w:noProof/>
        </w:rPr>
        <w:t>(19), 4826–4847. doi: 10.1111/mec.13357</w:t>
      </w:r>
    </w:p>
    <w:p w14:paraId="1CBCC249"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910062">
        <w:rPr>
          <w:rFonts w:ascii="Times New Roman" w:hAnsi="Times New Roman" w:cs="Times New Roman"/>
          <w:i/>
          <w:iCs/>
          <w:noProof/>
        </w:rPr>
        <w:t>Proceedings of the National Academy of Sciences</w:t>
      </w:r>
      <w:r w:rsidRPr="00910062">
        <w:rPr>
          <w:rFonts w:ascii="Times New Roman" w:hAnsi="Times New Roman" w:cs="Times New Roman"/>
          <w:noProof/>
        </w:rPr>
        <w:t xml:space="preserve">, </w:t>
      </w:r>
      <w:r w:rsidRPr="00910062">
        <w:rPr>
          <w:rFonts w:ascii="Times New Roman" w:hAnsi="Times New Roman" w:cs="Times New Roman"/>
          <w:i/>
          <w:iCs/>
          <w:noProof/>
        </w:rPr>
        <w:t>112</w:t>
      </w:r>
      <w:r w:rsidRPr="00910062">
        <w:rPr>
          <w:rFonts w:ascii="Times New Roman" w:hAnsi="Times New Roman" w:cs="Times New Roman"/>
          <w:noProof/>
        </w:rPr>
        <w:t>(26), 8019–8024. doi: 10.1073/pnas.1503283112</w:t>
      </w:r>
    </w:p>
    <w:p w14:paraId="10763B7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(1), 126–134. doi: 10.1111/2041-210X.12647</w:t>
      </w:r>
    </w:p>
    <w:p w14:paraId="22D33E7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Laigle, I., Aubin, I., Digel, C., Brose, U., Boulangeat, I., &amp; Gravel, D. (2018). Species traits as drivers of food web structure.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127</w:t>
      </w:r>
      <w:r w:rsidRPr="00910062">
        <w:rPr>
          <w:rFonts w:ascii="Times New Roman" w:hAnsi="Times New Roman" w:cs="Times New Roman"/>
          <w:noProof/>
        </w:rPr>
        <w:t>(2), 316–326. doi: 10.1111/oik.04712</w:t>
      </w:r>
    </w:p>
    <w:p w14:paraId="1D10EC1F"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910062">
        <w:rPr>
          <w:rFonts w:ascii="Times New Roman" w:hAnsi="Times New Roman" w:cs="Times New Roman"/>
          <w:i/>
          <w:iCs/>
          <w:noProof/>
        </w:rPr>
        <w:t>Frontiers in Zoology</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(34), 1–14. doi: 10.1186/1742-9994-10-34</w:t>
      </w:r>
    </w:p>
    <w:p w14:paraId="2D3F2945"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Macías-Hernández, N., Athey, K., Tonzo, V., Wangensteen, O. S., Arnedo, M., &amp; Harwood, J. (2018). Molecular gut content analysis of different spider body parts.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(5), 1–16. doi: 10.1371/journal.pone.0196589</w:t>
      </w:r>
    </w:p>
    <w:p w14:paraId="6B1F04E5"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McCann, K. (2000). The diversity–stability debate. </w:t>
      </w:r>
      <w:r w:rsidRPr="00910062">
        <w:rPr>
          <w:rFonts w:ascii="Times New Roman" w:hAnsi="Times New Roman" w:cs="Times New Roman"/>
          <w:i/>
          <w:iCs/>
          <w:noProof/>
        </w:rPr>
        <w:t>Nature</w:t>
      </w:r>
      <w:r w:rsidRPr="00910062">
        <w:rPr>
          <w:rFonts w:ascii="Times New Roman" w:hAnsi="Times New Roman" w:cs="Times New Roman"/>
          <w:noProof/>
        </w:rPr>
        <w:t xml:space="preserve">, </w:t>
      </w:r>
      <w:r w:rsidRPr="00910062">
        <w:rPr>
          <w:rFonts w:ascii="Times New Roman" w:hAnsi="Times New Roman" w:cs="Times New Roman"/>
          <w:i/>
          <w:iCs/>
          <w:noProof/>
        </w:rPr>
        <w:t>405</w:t>
      </w:r>
      <w:r w:rsidRPr="00910062">
        <w:rPr>
          <w:rFonts w:ascii="Times New Roman" w:hAnsi="Times New Roman" w:cs="Times New Roman"/>
          <w:noProof/>
        </w:rPr>
        <w:t>.</w:t>
      </w:r>
    </w:p>
    <w:p w14:paraId="200BB45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McElroy, M. E., Dressler, T. L., Titcomb, G. C., Wilson, E. A., Deiner, K., Dudley, T. L., … Jerde, C. L. (2020). Calibrating Environmental DNA Metabarcoding to Conventional Surveys for Measuring Fish Species Richness. </w:t>
      </w:r>
      <w:r w:rsidRPr="00910062">
        <w:rPr>
          <w:rFonts w:ascii="Times New Roman" w:hAnsi="Times New Roman" w:cs="Times New Roman"/>
          <w:i/>
          <w:iCs/>
          <w:noProof/>
        </w:rPr>
        <w:t>Frontiers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 0–12. doi: 10.3389/fevo.2020.00276</w:t>
      </w:r>
    </w:p>
    <w:p w14:paraId="7C1122E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McLaughlin, Ó. B., Jonsson, T., &amp; Emmerson, M. C. (2010). Temporal Variability in Predator-Prey Relationships of a Forest Floor Food Web. In </w:t>
      </w:r>
      <w:r w:rsidRPr="00910062">
        <w:rPr>
          <w:rFonts w:ascii="Times New Roman" w:hAnsi="Times New Roman" w:cs="Times New Roman"/>
          <w:i/>
          <w:iCs/>
          <w:noProof/>
        </w:rPr>
        <w:t>Advances in Ecological Research</w:t>
      </w:r>
      <w:r w:rsidRPr="00910062">
        <w:rPr>
          <w:rFonts w:ascii="Times New Roman" w:hAnsi="Times New Roman" w:cs="Times New Roman"/>
          <w:noProof/>
        </w:rPr>
        <w:t xml:space="preserve"> (Vol. 42). doi: 10.1016/B978-0-12-381363-3.00004-6</w:t>
      </w:r>
    </w:p>
    <w:p w14:paraId="3875AAFA"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Mora, C., Tittensor, D. P., Adl, S., Simpson, A. G. B., &amp; Worm, B. (2011). How many species are there on earth and in the ocean? </w:t>
      </w:r>
      <w:r w:rsidRPr="00910062">
        <w:rPr>
          <w:rFonts w:ascii="Times New Roman" w:hAnsi="Times New Roman" w:cs="Times New Roman"/>
          <w:i/>
          <w:iCs/>
          <w:noProof/>
        </w:rPr>
        <w:t>PLoS Biology</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(8), 1–8. doi: 10.1371/journal.pbio.1001127</w:t>
      </w:r>
    </w:p>
    <w:p w14:paraId="152CFA63"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(2017). Individual interaction data are required in community ecology: a </w:t>
      </w:r>
      <w:r w:rsidRPr="00910062">
        <w:rPr>
          <w:rFonts w:ascii="Times New Roman" w:hAnsi="Times New Roman" w:cs="Times New Roman"/>
          <w:noProof/>
        </w:rPr>
        <w:lastRenderedPageBreak/>
        <w:t xml:space="preserve">conceptual review of the predator–prey mass ratio and more. </w:t>
      </w:r>
      <w:r w:rsidRPr="00910062">
        <w:rPr>
          <w:rFonts w:ascii="Times New Roman" w:hAnsi="Times New Roman" w:cs="Times New Roman"/>
          <w:i/>
          <w:iCs/>
          <w:noProof/>
        </w:rPr>
        <w:t>Ecological Research</w:t>
      </w:r>
      <w:r w:rsidRPr="00910062">
        <w:rPr>
          <w:rFonts w:ascii="Times New Roman" w:hAnsi="Times New Roman" w:cs="Times New Roman"/>
          <w:noProof/>
        </w:rPr>
        <w:t xml:space="preserve">, </w:t>
      </w:r>
      <w:r w:rsidRPr="00910062">
        <w:rPr>
          <w:rFonts w:ascii="Times New Roman" w:hAnsi="Times New Roman" w:cs="Times New Roman"/>
          <w:i/>
          <w:iCs/>
          <w:noProof/>
        </w:rPr>
        <w:t>32</w:t>
      </w:r>
      <w:r w:rsidRPr="00910062">
        <w:rPr>
          <w:rFonts w:ascii="Times New Roman" w:hAnsi="Times New Roman" w:cs="Times New Roman"/>
          <w:noProof/>
        </w:rPr>
        <w:t>(1), 5–12. doi: 10.1007/s11284-016-1408-1</w:t>
      </w:r>
    </w:p>
    <w:p w14:paraId="798E58F7"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Ohba, S. Y., &amp; Ushio, M. (2013). Predator-prey body size relationships when predators can consume prey larger than themselves. </w:t>
      </w:r>
      <w:r w:rsidRPr="00910062">
        <w:rPr>
          <w:rFonts w:ascii="Times New Roman" w:hAnsi="Times New Roman" w:cs="Times New Roman"/>
          <w:i/>
          <w:iCs/>
          <w:noProof/>
        </w:rPr>
        <w:t>Biology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 20121193. doi: 10.1098/rsbl.2012.1193</w:t>
      </w:r>
    </w:p>
    <w:p w14:paraId="64F7F3FD"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Nielsen, J. M., Clare, E. L., Hayden, B., Brett, M. T., &amp; Kratina, P. (2018). Diet tracing in ecology: Method comparison and selection.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(2), 278–291. doi: 10.1111/2041-210X.12869</w:t>
      </w:r>
    </w:p>
    <w:p w14:paraId="17581F4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Oono, R., Black, D., Slessarev, E., Sickler, B., Strom, A., &amp; Apigo, A. (2020). Species diversity of fungal endophytes across a stress gradient for plants. </w:t>
      </w:r>
      <w:r w:rsidRPr="00910062">
        <w:rPr>
          <w:rFonts w:ascii="Times New Roman" w:hAnsi="Times New Roman" w:cs="Times New Roman"/>
          <w:i/>
          <w:iCs/>
          <w:noProof/>
        </w:rPr>
        <w:t>New Phytologist</w:t>
      </w:r>
      <w:r w:rsidRPr="00910062">
        <w:rPr>
          <w:rFonts w:ascii="Times New Roman" w:hAnsi="Times New Roman" w:cs="Times New Roman"/>
          <w:noProof/>
        </w:rPr>
        <w:t xml:space="preserve">, </w:t>
      </w:r>
      <w:r w:rsidRPr="00910062">
        <w:rPr>
          <w:rFonts w:ascii="Times New Roman" w:hAnsi="Times New Roman" w:cs="Times New Roman"/>
          <w:i/>
          <w:iCs/>
          <w:noProof/>
        </w:rPr>
        <w:t>228</w:t>
      </w:r>
      <w:r w:rsidRPr="00910062">
        <w:rPr>
          <w:rFonts w:ascii="Times New Roman" w:hAnsi="Times New Roman" w:cs="Times New Roman"/>
          <w:noProof/>
        </w:rPr>
        <w:t>(1), 210–225. doi: 10.1111/nph.16709</w:t>
      </w:r>
    </w:p>
    <w:p w14:paraId="2AB4D5FD"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Piechnik, D. A., Lawler, S. P., &amp; Martinez, N. D. (2008). Food-web assembly during a classic biogeographic study: species’ “trophic breadth.”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117</w:t>
      </w:r>
      <w:r w:rsidRPr="00910062">
        <w:rPr>
          <w:rFonts w:ascii="Times New Roman" w:hAnsi="Times New Roman" w:cs="Times New Roman"/>
          <w:noProof/>
        </w:rPr>
        <w:t>(5), 665–674.</w:t>
      </w:r>
    </w:p>
    <w:p w14:paraId="768213AA"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Polis, G. A. (1991). Complex Trophic Interactions in Deserts: An Empirical Critique of Food-Web Theory. </w:t>
      </w:r>
      <w:r w:rsidRPr="00910062">
        <w:rPr>
          <w:rFonts w:ascii="Times New Roman" w:hAnsi="Times New Roman" w:cs="Times New Roman"/>
          <w:i/>
          <w:iCs/>
          <w:noProof/>
        </w:rPr>
        <w:t>The American Naturalist</w:t>
      </w:r>
      <w:r w:rsidRPr="00910062">
        <w:rPr>
          <w:rFonts w:ascii="Times New Roman" w:hAnsi="Times New Roman" w:cs="Times New Roman"/>
          <w:noProof/>
        </w:rPr>
        <w:t xml:space="preserve">, </w:t>
      </w:r>
      <w:r w:rsidRPr="00910062">
        <w:rPr>
          <w:rFonts w:ascii="Times New Roman" w:hAnsi="Times New Roman" w:cs="Times New Roman"/>
          <w:i/>
          <w:iCs/>
          <w:noProof/>
        </w:rPr>
        <w:t>138</w:t>
      </w:r>
      <w:r w:rsidRPr="00910062">
        <w:rPr>
          <w:rFonts w:ascii="Times New Roman" w:hAnsi="Times New Roman" w:cs="Times New Roman"/>
          <w:noProof/>
        </w:rPr>
        <w:t>(1), 123–155.</w:t>
      </w:r>
    </w:p>
    <w:p w14:paraId="773948E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Pomeranz, J. P. F., Thompson, R. M., Poisot, T., &amp; Harding, J. S. (2019). Inferring predator–prey interactions in food webs.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 356–367. doi: 10.1111/2041-210X.13125</w:t>
      </w:r>
    </w:p>
    <w:p w14:paraId="6BAED8B3"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Porter, T. M., &amp; Hajibabaei, M. (2018). Over 2.5 million COI sequences in GenBank and growing.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(9), 1–16. doi: 10.1371/journal.pone.0200177</w:t>
      </w:r>
    </w:p>
    <w:p w14:paraId="2DBC44F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Raffaelli, D. (2007). Food webs, body size and the curse of the latin binomial. </w:t>
      </w:r>
      <w:r w:rsidRPr="00910062">
        <w:rPr>
          <w:rFonts w:ascii="Times New Roman" w:hAnsi="Times New Roman" w:cs="Times New Roman"/>
          <w:i/>
          <w:iCs/>
          <w:noProof/>
        </w:rPr>
        <w:t>From Energetics to Ecosystems: The Dynamics and Structure of Ecological Systems</w:t>
      </w:r>
      <w:r w:rsidRPr="00910062">
        <w:rPr>
          <w:rFonts w:ascii="Times New Roman" w:hAnsi="Times New Roman" w:cs="Times New Roman"/>
          <w:noProof/>
        </w:rPr>
        <w:t>, 53–64. doi: 10.1007/978-1-4020-5337-5_3</w:t>
      </w:r>
    </w:p>
    <w:p w14:paraId="2AAD730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Rall, B. C., Kalinkat, G., Ott, D., Vucic-Prestic, O., &amp; Brose, U. (2011). Taxonomic versus allometric constraints on non-linear interaction strengths.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120</w:t>
      </w:r>
      <w:r w:rsidRPr="00910062">
        <w:rPr>
          <w:rFonts w:ascii="Times New Roman" w:hAnsi="Times New Roman" w:cs="Times New Roman"/>
          <w:noProof/>
        </w:rPr>
        <w:t>, 483–492.</w:t>
      </w:r>
    </w:p>
    <w:p w14:paraId="5B234E4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Rudolf, V. H. W., Rasmussen, N. L., Dibble, C. J., &amp; Allen, B. G. Van. (2014). Resolving the roles of body size and species identity in driving functional diversity. </w:t>
      </w:r>
      <w:r w:rsidRPr="00910062">
        <w:rPr>
          <w:rFonts w:ascii="Times New Roman" w:hAnsi="Times New Roman" w:cs="Times New Roman"/>
          <w:i/>
          <w:iCs/>
          <w:noProof/>
        </w:rPr>
        <w:t>Proceedings of the Royal Society B</w:t>
      </w:r>
      <w:r w:rsidRPr="00910062">
        <w:rPr>
          <w:rFonts w:ascii="Times New Roman" w:hAnsi="Times New Roman" w:cs="Times New Roman"/>
          <w:noProof/>
        </w:rPr>
        <w:t xml:space="preserve">, </w:t>
      </w:r>
      <w:r w:rsidRPr="00910062">
        <w:rPr>
          <w:rFonts w:ascii="Times New Roman" w:hAnsi="Times New Roman" w:cs="Times New Roman"/>
          <w:i/>
          <w:iCs/>
          <w:noProof/>
        </w:rPr>
        <w:t>281</w:t>
      </w:r>
      <w:r w:rsidRPr="00910062">
        <w:rPr>
          <w:rFonts w:ascii="Times New Roman" w:hAnsi="Times New Roman" w:cs="Times New Roman"/>
          <w:noProof/>
        </w:rPr>
        <w:t>, 20133203.</w:t>
      </w:r>
    </w:p>
    <w:p w14:paraId="747DE49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(2008). Effects of predator hunting mode on grassland ecosystem function.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319</w:t>
      </w:r>
      <w:r w:rsidRPr="00910062">
        <w:rPr>
          <w:rFonts w:ascii="Times New Roman" w:hAnsi="Times New Roman" w:cs="Times New Roman"/>
          <w:noProof/>
        </w:rPr>
        <w:t>(5865), 952–954. doi: 10.1126/science.1152355</w:t>
      </w:r>
    </w:p>
    <w:p w14:paraId="1CB81C13"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(2009). Effects of predator functional diversity on grassland ecosystem function. </w:t>
      </w:r>
      <w:r w:rsidRPr="00910062">
        <w:rPr>
          <w:rFonts w:ascii="Times New Roman" w:hAnsi="Times New Roman" w:cs="Times New Roman"/>
          <w:i/>
          <w:iCs/>
          <w:noProof/>
        </w:rPr>
        <w:lastRenderedPageBreak/>
        <w:t>Ecology</w:t>
      </w:r>
      <w:r w:rsidRPr="00910062">
        <w:rPr>
          <w:rFonts w:ascii="Times New Roman" w:hAnsi="Times New Roman" w:cs="Times New Roman"/>
          <w:noProof/>
        </w:rPr>
        <w:t xml:space="preserve">, </w:t>
      </w:r>
      <w:r w:rsidRPr="00910062">
        <w:rPr>
          <w:rFonts w:ascii="Times New Roman" w:hAnsi="Times New Roman" w:cs="Times New Roman"/>
          <w:i/>
          <w:iCs/>
          <w:noProof/>
        </w:rPr>
        <w:t>90</w:t>
      </w:r>
      <w:r w:rsidRPr="00910062">
        <w:rPr>
          <w:rFonts w:ascii="Times New Roman" w:hAnsi="Times New Roman" w:cs="Times New Roman"/>
          <w:noProof/>
        </w:rPr>
        <w:t>(9), 2339–2345.</w:t>
      </w:r>
    </w:p>
    <w:p w14:paraId="5E19D1DA"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Sheppard, S. K., &amp; Harwood, J. D. (2005). Advances in molecular ecology: Tracking trophic links through predator-prey food-webs.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19</w:t>
      </w:r>
      <w:r w:rsidRPr="00910062">
        <w:rPr>
          <w:rFonts w:ascii="Times New Roman" w:hAnsi="Times New Roman" w:cs="Times New Roman"/>
          <w:noProof/>
        </w:rPr>
        <w:t>(5), 751–762. doi: 10.1111/j.1365-2435.2005.01041.x</w:t>
      </w:r>
    </w:p>
    <w:p w14:paraId="1F9486F1"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Simberloff, D. S., &amp; Wilson, E. O. (1969). Experimental Zoogeography of Islands : The Colonization of Empty Islands.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50</w:t>
      </w:r>
      <w:r w:rsidRPr="00910062">
        <w:rPr>
          <w:rFonts w:ascii="Times New Roman" w:hAnsi="Times New Roman" w:cs="Times New Roman"/>
          <w:noProof/>
        </w:rPr>
        <w:t>(2), 278–296.</w:t>
      </w:r>
    </w:p>
    <w:p w14:paraId="200990DD"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Lucas, M., Barnes, A. D., Haneda, N. F., Scheu, S., Rall, B. C., … Jochum, M. (2018). Data from: Applying generalised allometric regressions to predict live body mass of tropical and temperate arthropods. </w:t>
      </w:r>
      <w:r w:rsidRPr="00910062">
        <w:rPr>
          <w:rFonts w:ascii="Times New Roman" w:hAnsi="Times New Roman" w:cs="Times New Roman"/>
          <w:i/>
          <w:iCs/>
          <w:noProof/>
        </w:rPr>
        <w:t>Dryad</w:t>
      </w:r>
      <w:r w:rsidRPr="00910062">
        <w:rPr>
          <w:rFonts w:ascii="Times New Roman" w:hAnsi="Times New Roman" w:cs="Times New Roman"/>
          <w:noProof/>
        </w:rPr>
        <w:t>. doi: https://doi.org/10.5061/dryad.vk24fr1</w:t>
      </w:r>
    </w:p>
    <w:p w14:paraId="2A07227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(24), 12737–12749. doi: 10.1002/ece3.4702</w:t>
      </w:r>
    </w:p>
    <w:p w14:paraId="6EC0E65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Stork, N. E. (2018). How Many Species of Insects and Other Terrestrial Arthropods Are There on Earth? </w:t>
      </w:r>
      <w:r w:rsidRPr="00910062">
        <w:rPr>
          <w:rFonts w:ascii="Times New Roman" w:hAnsi="Times New Roman" w:cs="Times New Roman"/>
          <w:i/>
          <w:iCs/>
          <w:noProof/>
        </w:rPr>
        <w:t>Annual Review of Entomology</w:t>
      </w:r>
      <w:r w:rsidRPr="00910062">
        <w:rPr>
          <w:rFonts w:ascii="Times New Roman" w:hAnsi="Times New Roman" w:cs="Times New Roman"/>
          <w:noProof/>
        </w:rPr>
        <w:t xml:space="preserve">, </w:t>
      </w:r>
      <w:r w:rsidRPr="00910062">
        <w:rPr>
          <w:rFonts w:ascii="Times New Roman" w:hAnsi="Times New Roman" w:cs="Times New Roman"/>
          <w:i/>
          <w:iCs/>
          <w:noProof/>
        </w:rPr>
        <w:t>63</w:t>
      </w:r>
      <w:r w:rsidRPr="00910062">
        <w:rPr>
          <w:rFonts w:ascii="Times New Roman" w:hAnsi="Times New Roman" w:cs="Times New Roman"/>
          <w:noProof/>
        </w:rPr>
        <w:t>, 31–45. doi: 10.1146/annurev-ento-020117-043348</w:t>
      </w:r>
    </w:p>
    <w:p w14:paraId="7951BEFE"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Stouffer, D. B., Camacho, J., Guimera, R., Ng, C. A., &amp; Nunes Amaral, L. A. (2005). Quantitative patterns in the structure of model and empirical food webs.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86</w:t>
      </w:r>
      <w:r w:rsidRPr="00910062">
        <w:rPr>
          <w:rFonts w:ascii="Times New Roman" w:hAnsi="Times New Roman" w:cs="Times New Roman"/>
          <w:noProof/>
        </w:rPr>
        <w:t>(5), 1301–1311.</w:t>
      </w:r>
    </w:p>
    <w:p w14:paraId="50190E62"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910062">
        <w:rPr>
          <w:rFonts w:ascii="Times New Roman" w:hAnsi="Times New Roman" w:cs="Times New Roman"/>
          <w:i/>
          <w:iCs/>
          <w:noProof/>
        </w:rPr>
        <w:t>The Journal of Experimental Biology</w:t>
      </w:r>
      <w:r w:rsidRPr="00910062">
        <w:rPr>
          <w:rFonts w:ascii="Times New Roman" w:hAnsi="Times New Roman" w:cs="Times New Roman"/>
          <w:noProof/>
        </w:rPr>
        <w:t xml:space="preserve">, </w:t>
      </w:r>
      <w:r w:rsidRPr="00910062">
        <w:rPr>
          <w:rFonts w:ascii="Times New Roman" w:hAnsi="Times New Roman" w:cs="Times New Roman"/>
          <w:i/>
          <w:iCs/>
          <w:noProof/>
        </w:rPr>
        <w:t>223</w:t>
      </w:r>
      <w:r w:rsidRPr="00910062">
        <w:rPr>
          <w:rFonts w:ascii="Times New Roman" w:hAnsi="Times New Roman" w:cs="Times New Roman"/>
          <w:noProof/>
        </w:rPr>
        <w:t>(May). doi: 10.1242/jeb.218552</w:t>
      </w:r>
    </w:p>
    <w:p w14:paraId="6C49A608"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Valiente-Banuet, A., Aizen, M. A., Alcántara, J. M., Arroyo, J., Cocucci, A., Galetti, M., … Zamora, R. (2015). Beyond species loss: The extinction of ecological interactions in a changing world.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(3), 299–307. doi: 10.1111/1365-2435.12356</w:t>
      </w:r>
    </w:p>
    <w:p w14:paraId="60737857"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(5), 1171–1181. doi: 10.1111/1755-0998.13009</w:t>
      </w:r>
    </w:p>
    <w:p w14:paraId="48DC9020"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Klink, R., Bowler, D. E., Gongalsky, K. B., Swengel, A. B., Gentile, A., &amp; Chase, J. M. (2020).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368</w:t>
      </w:r>
      <w:r w:rsidRPr="00910062">
        <w:rPr>
          <w:rFonts w:ascii="Times New Roman" w:hAnsi="Times New Roman" w:cs="Times New Roman"/>
          <w:noProof/>
        </w:rPr>
        <w:t>, 417–420. doi: 10.1126/science.abd8947</w:t>
      </w:r>
    </w:p>
    <w:p w14:paraId="5091F264"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lastRenderedPageBreak/>
        <w:t xml:space="preserve">Wilson, E. E., &amp; Wolkovich, E. M. (2011). Scavenging: How carnivores and carrion structure communities.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26</w:t>
      </w:r>
      <w:r w:rsidRPr="00910062">
        <w:rPr>
          <w:rFonts w:ascii="Times New Roman" w:hAnsi="Times New Roman" w:cs="Times New Roman"/>
          <w:noProof/>
        </w:rPr>
        <w:t>(3), 129–135. doi: 10.1016/j.tree.2010.12.011</w:t>
      </w:r>
    </w:p>
    <w:p w14:paraId="0A0CCD35"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Woodward, G., Ebenman, B., Emmerson, M., Montoya, J. M., Olesen, J. M., Valido, A., &amp; Warren, P. H. (2005). Body size in ecological networks.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(7), 402–409. doi: 10.1016/j.tree.2005.04.005</w:t>
      </w:r>
    </w:p>
    <w:p w14:paraId="28292CCB"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910062">
        <w:rPr>
          <w:rFonts w:ascii="Times New Roman" w:hAnsi="Times New Roman" w:cs="Times New Roman"/>
          <w:i/>
          <w:iCs/>
          <w:noProof/>
        </w:rPr>
        <w:t>Experimental and Applied Acarology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(10), 775–779. doi: 10.1007/BF00051836</w:t>
      </w:r>
    </w:p>
    <w:p w14:paraId="4EA8269C" w14:textId="77777777" w:rsidR="00910062" w:rsidRPr="00910062" w:rsidRDefault="00910062" w:rsidP="00DE5902">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(4), 613–623. doi: 10.1111/j.2041-210X.2012.00198.x</w:t>
      </w:r>
    </w:p>
    <w:p w14:paraId="09B3EFAC" w14:textId="23DE17B9" w:rsidR="00DE3441" w:rsidRDefault="0030417C" w:rsidP="00DE5902">
      <w:pPr>
        <w:widowControl w:val="0"/>
        <w:autoSpaceDE w:val="0"/>
        <w:autoSpaceDN w:val="0"/>
        <w:adjustRightInd w:val="0"/>
        <w:spacing w:line="36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DE5902">
      <w:pPr>
        <w:spacing w:line="36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DE5902">
      <w:pPr>
        <w:spacing w:line="360" w:lineRule="auto"/>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DE5902">
      <w:pPr>
        <w:spacing w:line="360" w:lineRule="auto"/>
        <w:rPr>
          <w:rFonts w:ascii="Times New Roman" w:hAnsi="Times New Roman" w:cs="Times New Roman"/>
          <w:b/>
          <w:bCs/>
        </w:rPr>
      </w:pPr>
    </w:p>
    <w:p w14:paraId="79BC0D90" w14:textId="49D441CE" w:rsidR="003E2AB0" w:rsidRDefault="003E2AB0" w:rsidP="00DE5902">
      <w:pPr>
        <w:spacing w:line="360" w:lineRule="auto"/>
        <w:rPr>
          <w:rFonts w:ascii="Times New Roman" w:hAnsi="Times New Roman" w:cs="Times New Roman"/>
          <w:b/>
          <w:bCs/>
        </w:rPr>
      </w:pPr>
    </w:p>
    <w:p w14:paraId="3404A86D" w14:textId="3BA5F11F" w:rsidR="003E2AB0" w:rsidRDefault="003E2AB0" w:rsidP="00DE5902">
      <w:pPr>
        <w:spacing w:line="360" w:lineRule="auto"/>
        <w:rPr>
          <w:rFonts w:ascii="Times New Roman" w:hAnsi="Times New Roman" w:cs="Times New Roman"/>
          <w:b/>
          <w:bCs/>
        </w:rPr>
      </w:pPr>
    </w:p>
    <w:p w14:paraId="6AA0A700" w14:textId="00EA6DAD" w:rsidR="003E2AB0" w:rsidRDefault="00E1516B" w:rsidP="00DE590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3C7E4443" wp14:editId="2813BC0A">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A974B" w14:textId="35839823" w:rsidR="003E2AB0" w:rsidRDefault="003E2AB0" w:rsidP="00DE5902">
      <w:pPr>
        <w:spacing w:line="360" w:lineRule="auto"/>
        <w:rPr>
          <w:rFonts w:ascii="Times New Roman" w:hAnsi="Times New Roman" w:cs="Times New Roman"/>
          <w:b/>
          <w:bCs/>
        </w:rPr>
      </w:pPr>
    </w:p>
    <w:p w14:paraId="0152F65C" w14:textId="1FEE791E" w:rsidR="00DE3441" w:rsidRDefault="003E2AB0"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DE5902">
      <w:pPr>
        <w:spacing w:line="360" w:lineRule="auto"/>
        <w:rPr>
          <w:rFonts w:ascii="Times New Roman" w:hAnsi="Times New Roman" w:cs="Times New Roman"/>
        </w:rPr>
      </w:pPr>
    </w:p>
    <w:p w14:paraId="548DE875" w14:textId="631BA6E5" w:rsidR="00DC5A83" w:rsidRDefault="00DC5A83" w:rsidP="00DE5902">
      <w:pPr>
        <w:spacing w:line="360" w:lineRule="auto"/>
        <w:rPr>
          <w:rFonts w:ascii="Times New Roman" w:hAnsi="Times New Roman" w:cs="Times New Roman"/>
        </w:rPr>
      </w:pPr>
    </w:p>
    <w:p w14:paraId="36DE8997" w14:textId="12513D00" w:rsidR="00DC5A83" w:rsidRDefault="00DC5A83" w:rsidP="00DE5902">
      <w:pPr>
        <w:spacing w:line="360" w:lineRule="auto"/>
        <w:rPr>
          <w:rFonts w:ascii="Times New Roman" w:hAnsi="Times New Roman" w:cs="Times New Roman"/>
        </w:rPr>
      </w:pPr>
    </w:p>
    <w:p w14:paraId="78789852" w14:textId="370D15BF" w:rsidR="00DC5A83" w:rsidRDefault="00DC5A83" w:rsidP="00DE5902">
      <w:pPr>
        <w:spacing w:line="360" w:lineRule="auto"/>
        <w:rPr>
          <w:rFonts w:ascii="Times New Roman" w:hAnsi="Times New Roman" w:cs="Times New Roman"/>
        </w:rPr>
      </w:pPr>
    </w:p>
    <w:p w14:paraId="3B565CA3" w14:textId="7B2CBEF7" w:rsidR="00DC5A83" w:rsidRDefault="00DC5A83" w:rsidP="00DE5902">
      <w:pPr>
        <w:spacing w:line="360" w:lineRule="auto"/>
        <w:rPr>
          <w:rFonts w:ascii="Times New Roman" w:hAnsi="Times New Roman" w:cs="Times New Roman"/>
        </w:rPr>
      </w:pPr>
    </w:p>
    <w:p w14:paraId="7EA6FD31" w14:textId="5FD4F20B" w:rsidR="00DC5A83" w:rsidRPr="003E2AB0" w:rsidRDefault="00DC5A83" w:rsidP="00DE5902">
      <w:pPr>
        <w:spacing w:line="360" w:lineRule="auto"/>
        <w:rPr>
          <w:rFonts w:ascii="Times New Roman" w:hAnsi="Times New Roman" w:cs="Times New Roman"/>
        </w:rPr>
      </w:pPr>
    </w:p>
    <w:p w14:paraId="0E46CB05" w14:textId="6F89FBF8" w:rsidR="0073338A" w:rsidRDefault="002277A2" w:rsidP="00DE5902">
      <w:pPr>
        <w:spacing w:line="360" w:lineRule="auto"/>
        <w:rPr>
          <w:rFonts w:ascii="Times New Roman" w:hAnsi="Times New Roman" w:cs="Times New Roman"/>
        </w:rPr>
      </w:pPr>
      <w:r>
        <w:rPr>
          <w:rFonts w:ascii="Times New Roman" w:hAnsi="Times New Roman" w:cs="Times New Roman"/>
          <w:noProof/>
        </w:rPr>
        <w:drawing>
          <wp:inline distT="0" distB="0" distL="0" distR="0" wp14:anchorId="1B945268" wp14:editId="655DB413">
            <wp:extent cx="5943600" cy="459295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3A83636" w14:textId="18219D9B" w:rsidR="00DE3441" w:rsidRDefault="00DE3441" w:rsidP="00DE5902">
      <w:pPr>
        <w:spacing w:line="360" w:lineRule="auto"/>
        <w:rPr>
          <w:rFonts w:ascii="Times New Roman" w:hAnsi="Times New Roman" w:cs="Times New Roman"/>
        </w:rPr>
      </w:pPr>
    </w:p>
    <w:p w14:paraId="657D1D14" w14:textId="6D697E96" w:rsidR="00B66A52"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species detected in DNA data (medium grey) represent species across much of the range of the community size spectrum. </w:t>
      </w:r>
    </w:p>
    <w:p w14:paraId="5E0F03A3" w14:textId="010B6148" w:rsidR="003D09F8" w:rsidRDefault="003D09F8" w:rsidP="00DE5902">
      <w:pPr>
        <w:spacing w:line="360" w:lineRule="auto"/>
        <w:rPr>
          <w:rFonts w:ascii="Times New Roman" w:hAnsi="Times New Roman" w:cs="Times New Roman"/>
        </w:rPr>
      </w:pPr>
    </w:p>
    <w:p w14:paraId="2C9FAB33" w14:textId="0477852B" w:rsidR="003D09F8" w:rsidRDefault="003D09F8" w:rsidP="00DE5902">
      <w:pPr>
        <w:spacing w:line="360" w:lineRule="auto"/>
        <w:rPr>
          <w:rFonts w:ascii="Times New Roman" w:hAnsi="Times New Roman" w:cs="Times New Roman"/>
        </w:rPr>
      </w:pPr>
    </w:p>
    <w:p w14:paraId="783C8617" w14:textId="44F12325" w:rsidR="003D09F8" w:rsidRDefault="003D09F8" w:rsidP="00DE5902">
      <w:pPr>
        <w:spacing w:line="360" w:lineRule="auto"/>
        <w:rPr>
          <w:rFonts w:ascii="Times New Roman" w:hAnsi="Times New Roman" w:cs="Times New Roman"/>
        </w:rPr>
      </w:pPr>
    </w:p>
    <w:p w14:paraId="71DE0B32" w14:textId="6E606550" w:rsidR="003D09F8" w:rsidRDefault="003D09F8" w:rsidP="00DE5902">
      <w:pPr>
        <w:spacing w:line="360" w:lineRule="auto"/>
        <w:rPr>
          <w:rFonts w:ascii="Times New Roman" w:hAnsi="Times New Roman" w:cs="Times New Roman"/>
        </w:rPr>
      </w:pPr>
    </w:p>
    <w:p w14:paraId="031B9A7D" w14:textId="55025A97" w:rsidR="003D09F8" w:rsidRDefault="003D09F8" w:rsidP="00DE5902">
      <w:pPr>
        <w:spacing w:line="360" w:lineRule="auto"/>
        <w:rPr>
          <w:rFonts w:ascii="Times New Roman" w:hAnsi="Times New Roman" w:cs="Times New Roman"/>
        </w:rPr>
      </w:pPr>
    </w:p>
    <w:p w14:paraId="565A4100" w14:textId="5F7C8E4A" w:rsidR="003D09F8" w:rsidRDefault="003D09F8" w:rsidP="00DE5902">
      <w:pPr>
        <w:spacing w:line="360" w:lineRule="auto"/>
        <w:rPr>
          <w:rFonts w:ascii="Times New Roman" w:hAnsi="Times New Roman" w:cs="Times New Roman"/>
        </w:rPr>
      </w:pPr>
    </w:p>
    <w:p w14:paraId="7F3258ED" w14:textId="498A78A1" w:rsidR="003D09F8" w:rsidRDefault="003D09F8" w:rsidP="00DE5902">
      <w:pPr>
        <w:spacing w:line="360" w:lineRule="auto"/>
        <w:rPr>
          <w:rFonts w:ascii="Times New Roman" w:hAnsi="Times New Roman" w:cs="Times New Roman"/>
        </w:rPr>
      </w:pPr>
    </w:p>
    <w:p w14:paraId="41664AF3" w14:textId="750DA297" w:rsidR="003D09F8" w:rsidRDefault="00C47580" w:rsidP="00DE5902">
      <w:pPr>
        <w:spacing w:line="360" w:lineRule="auto"/>
        <w:rPr>
          <w:rFonts w:ascii="Times New Roman" w:hAnsi="Times New Roman" w:cs="Times New Roman"/>
        </w:rPr>
      </w:pPr>
      <w:r>
        <w:rPr>
          <w:rFonts w:ascii="Times New Roman" w:hAnsi="Times New Roman" w:cs="Times New Roman"/>
          <w:noProof/>
        </w:rPr>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3B01CC32" w:rsidR="003D09F8"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community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item in that predator species sample, and the width of the prey bar corresponds to the number of times that prey item occurs in any predator’s diet. Prey items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DE5902">
      <w:pPr>
        <w:spacing w:line="360" w:lineRule="auto"/>
        <w:rPr>
          <w:rFonts w:ascii="Times New Roman" w:hAnsi="Times New Roman" w:cs="Times New Roman"/>
        </w:rPr>
      </w:pPr>
    </w:p>
    <w:p w14:paraId="22A7A97C" w14:textId="151DAD3A" w:rsidR="003D09F8" w:rsidRDefault="003D09F8" w:rsidP="00DE5902">
      <w:pPr>
        <w:spacing w:line="360" w:lineRule="auto"/>
        <w:rPr>
          <w:rFonts w:ascii="Times New Roman" w:hAnsi="Times New Roman" w:cs="Times New Roman"/>
        </w:rPr>
      </w:pPr>
    </w:p>
    <w:p w14:paraId="2E8B3FDF" w14:textId="2F1E1186" w:rsidR="003D09F8" w:rsidRDefault="003D09F8" w:rsidP="00DE5902">
      <w:pPr>
        <w:spacing w:line="360" w:lineRule="auto"/>
        <w:rPr>
          <w:rFonts w:ascii="Times New Roman" w:hAnsi="Times New Roman" w:cs="Times New Roman"/>
        </w:rPr>
      </w:pPr>
    </w:p>
    <w:p w14:paraId="1533314C" w14:textId="4402E988" w:rsidR="003D09F8" w:rsidRDefault="00C47580" w:rsidP="00DE5902">
      <w:pPr>
        <w:spacing w:line="360" w:lineRule="auto"/>
        <w:rPr>
          <w:rFonts w:ascii="Times New Roman" w:hAnsi="Times New Roman" w:cs="Times New Roman"/>
        </w:rPr>
      </w:pPr>
      <w:r>
        <w:rPr>
          <w:rFonts w:ascii="Times New Roman" w:hAnsi="Times New Roman" w:cs="Times New Roman"/>
          <w:noProof/>
        </w:rPr>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07A13A43" w14:textId="4F44BE5B" w:rsidR="003D09F8" w:rsidRDefault="003D09F8" w:rsidP="00DE5902">
      <w:pPr>
        <w:spacing w:line="360" w:lineRule="auto"/>
        <w:rPr>
          <w:rFonts w:ascii="Times New Roman" w:hAnsi="Times New Roman" w:cs="Times New Roman"/>
        </w:rPr>
      </w:pPr>
    </w:p>
    <w:p w14:paraId="1B4794BC" w14:textId="77777777" w:rsidR="003D09F8" w:rsidRDefault="003D09F8" w:rsidP="00DE5902">
      <w:pPr>
        <w:spacing w:line="360" w:lineRule="auto"/>
        <w:rPr>
          <w:rFonts w:ascii="Times New Roman" w:hAnsi="Times New Roman" w:cs="Times New Roman"/>
        </w:rPr>
      </w:pPr>
    </w:p>
    <w:p w14:paraId="7EACC970" w14:textId="5B057DED" w:rsidR="00B66A52" w:rsidRDefault="00B66A52" w:rsidP="00DE5902">
      <w:pPr>
        <w:spacing w:line="360" w:lineRule="auto"/>
        <w:rPr>
          <w:rFonts w:ascii="Times New Roman" w:hAnsi="Times New Roman" w:cs="Times New Roman"/>
        </w:rPr>
      </w:pPr>
    </w:p>
    <w:p w14:paraId="5807BC5A" w14:textId="406D50F2" w:rsidR="00DE3441" w:rsidRDefault="00DE3441" w:rsidP="00DE5902">
      <w:pPr>
        <w:spacing w:line="360" w:lineRule="auto"/>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predator size),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DE5902">
      <w:pPr>
        <w:spacing w:line="360" w:lineRule="auto"/>
        <w:rPr>
          <w:rFonts w:ascii="Times New Roman" w:hAnsi="Times New Roman" w:cs="Times New Roman"/>
        </w:rPr>
      </w:pPr>
    </w:p>
    <w:p w14:paraId="6271533A" w14:textId="3092B2E2" w:rsidR="00DE3441" w:rsidRDefault="00DE3441" w:rsidP="00DE5902">
      <w:pPr>
        <w:spacing w:line="360" w:lineRule="auto"/>
        <w:rPr>
          <w:rFonts w:ascii="Times New Roman" w:hAnsi="Times New Roman" w:cs="Times New Roman"/>
        </w:rPr>
      </w:pPr>
    </w:p>
    <w:p w14:paraId="49BA4EF1" w14:textId="5E0FD5F9" w:rsidR="003E2AB0" w:rsidRDefault="003E2AB0" w:rsidP="00DE5902">
      <w:pPr>
        <w:spacing w:line="360" w:lineRule="auto"/>
        <w:rPr>
          <w:rFonts w:ascii="Times New Roman" w:hAnsi="Times New Roman" w:cs="Times New Roman"/>
        </w:rPr>
      </w:pPr>
    </w:p>
    <w:p w14:paraId="3902099B" w14:textId="77777777" w:rsidR="003E2AB0" w:rsidRDefault="003E2AB0" w:rsidP="00DE5902">
      <w:pPr>
        <w:spacing w:line="360" w:lineRule="auto"/>
        <w:rPr>
          <w:rFonts w:ascii="Times New Roman" w:hAnsi="Times New Roman" w:cs="Times New Roman"/>
        </w:rPr>
      </w:pPr>
    </w:p>
    <w:p w14:paraId="4035D0D5" w14:textId="77777777" w:rsidR="00746B5A" w:rsidRDefault="00746B5A" w:rsidP="00DE5902">
      <w:pPr>
        <w:spacing w:line="360" w:lineRule="auto"/>
        <w:rPr>
          <w:rFonts w:ascii="Times New Roman" w:hAnsi="Times New Roman" w:cs="Times New Roman"/>
        </w:rPr>
      </w:pPr>
    </w:p>
    <w:p w14:paraId="717BB8A3" w14:textId="349FD77F" w:rsidR="00746B5A" w:rsidRDefault="00C0453F" w:rsidP="00DE5902">
      <w:pPr>
        <w:spacing w:line="360" w:lineRule="auto"/>
        <w:rPr>
          <w:rFonts w:ascii="Times New Roman" w:hAnsi="Times New Roman" w:cs="Times New Roman"/>
        </w:rPr>
      </w:pPr>
      <w:r>
        <w:rPr>
          <w:rFonts w:ascii="Times New Roman" w:hAnsi="Times New Roman" w:cs="Times New Roman"/>
          <w:noProof/>
        </w:rPr>
        <w:drawing>
          <wp:inline distT="0" distB="0" distL="0" distR="0" wp14:anchorId="731AE020" wp14:editId="1B4AECF1">
            <wp:extent cx="5739788" cy="4228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51060" cy="4237106"/>
                    </a:xfrm>
                    <a:prstGeom prst="rect">
                      <a:avLst/>
                    </a:prstGeom>
                  </pic:spPr>
                </pic:pic>
              </a:graphicData>
            </a:graphic>
          </wp:inline>
        </w:drawing>
      </w:r>
    </w:p>
    <w:p w14:paraId="615B22E2" w14:textId="5448FBBA" w:rsidR="00746B5A" w:rsidRDefault="00DC5A83" w:rsidP="00DE5902">
      <w:pPr>
        <w:spacing w:line="360" w:lineRule="auto"/>
        <w:rPr>
          <w:rFonts w:ascii="Times New Roman" w:hAnsi="Times New Roman" w:cs="Times New Roman"/>
        </w:rPr>
      </w:pPr>
      <w:r>
        <w:rPr>
          <w:rFonts w:ascii="Times New Roman" w:hAnsi="Times New Roman" w:cs="Times New Roman"/>
        </w:rPr>
        <w:t xml:space="preserve"> </w:t>
      </w:r>
    </w:p>
    <w:p w14:paraId="6649D3C7" w14:textId="22681ADE" w:rsidR="002A0B84" w:rsidRPr="0040503F" w:rsidRDefault="00746B5A"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FD642A">
        <w:rPr>
          <w:rFonts w:ascii="Times New Roman" w:hAnsi="Times New Roman" w:cs="Times New Roman"/>
        </w:rPr>
        <w:t>species 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FD642A">
        <w:rPr>
          <w:rFonts w:ascii="Times New Roman" w:hAnsi="Times New Roman" w:cs="Times New Roman"/>
        </w:rPr>
        <w:t xml:space="preserve"> or broader predator taxonomies (e.g. Class)</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B7C04">
        <w:rPr>
          <w:rFonts w:ascii="Times New Roman" w:hAnsi="Times New Roman" w:cs="Times New Roman"/>
        </w:rPr>
        <w:t>. Any interactions below that line indicates that predators are smaller than prey, while any interactions above that line are when predators are larger than prey.</w:t>
      </w:r>
      <w:r w:rsidR="00A508FD">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While </w:t>
      </w:r>
      <w:r w:rsidR="009F3071">
        <w:rPr>
          <w:rFonts w:ascii="Times New Roman" w:hAnsi="Times New Roman" w:cs="Times New Roman"/>
        </w:rPr>
        <w:t>arachnid</w:t>
      </w:r>
      <w:r w:rsidR="00BB7C04">
        <w:rPr>
          <w:rFonts w:ascii="Times New Roman" w:hAnsi="Times New Roman" w:cs="Times New Roman"/>
        </w:rPr>
        <w:t>s</w:t>
      </w:r>
      <w:r w:rsidR="009F3071">
        <w:rPr>
          <w:rFonts w:ascii="Times New Roman" w:hAnsi="Times New Roman" w:cs="Times New Roman"/>
        </w:rPr>
        <w:t xml:space="preserve"> (all spiders in the order Aranea, lightest grey boxes) </w:t>
      </w:r>
      <w:r w:rsidR="00A508FD">
        <w:rPr>
          <w:rFonts w:ascii="Times New Roman" w:hAnsi="Times New Roman" w:cs="Times New Roman"/>
        </w:rPr>
        <w:t xml:space="preserve">tend to eat relatively larger prey items relative to their own body size than </w:t>
      </w:r>
      <w:r w:rsidR="009F3071">
        <w:rPr>
          <w:rFonts w:ascii="Times New Roman" w:hAnsi="Times New Roman" w:cs="Times New Roman"/>
        </w:rPr>
        <w:t>non-spider predators</w:t>
      </w:r>
      <w:r w:rsidR="00A508FD">
        <w:rPr>
          <w:rFonts w:ascii="Times New Roman" w:hAnsi="Times New Roman" w:cs="Times New Roman"/>
        </w:rPr>
        <w:t xml:space="preserve"> (</w:t>
      </w:r>
      <w:r w:rsidR="009F3071">
        <w:rPr>
          <w:rFonts w:ascii="Times New Roman" w:hAnsi="Times New Roman" w:cs="Times New Roman"/>
        </w:rPr>
        <w:t>medium and dark grey</w:t>
      </w:r>
      <w:r w:rsidR="00A508FD">
        <w:rPr>
          <w:rFonts w:ascii="Times New Roman" w:hAnsi="Times New Roman" w:cs="Times New Roman"/>
        </w:rPr>
        <w:t xml:space="preserve"> boxes), patterns across species vary, emphasizing a need for phylogenetic information in predator-prey interactions along with traits such as body size and hunting strategies.</w:t>
      </w:r>
      <w:r w:rsidR="009F3071">
        <w:rPr>
          <w:rFonts w:ascii="Times New Roman" w:hAnsi="Times New Roman" w:cs="Times New Roman"/>
        </w:rPr>
        <w:t xml:space="preserve"> Twenty-four percent (72/305) of the interactions in our dataset corresponded to predators eating prey items 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EC8F3" w14:textId="77777777" w:rsidR="00326CA4" w:rsidRDefault="00326CA4" w:rsidP="006D34B7">
      <w:r>
        <w:separator/>
      </w:r>
    </w:p>
  </w:endnote>
  <w:endnote w:type="continuationSeparator" w:id="0">
    <w:p w14:paraId="0DCA5B51" w14:textId="77777777" w:rsidR="00326CA4" w:rsidRDefault="00326CA4"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39C03" w14:textId="77777777" w:rsidR="00326CA4" w:rsidRDefault="00326CA4" w:rsidP="006D34B7">
      <w:r>
        <w:separator/>
      </w:r>
    </w:p>
  </w:footnote>
  <w:footnote w:type="continuationSeparator" w:id="0">
    <w:p w14:paraId="558790EA" w14:textId="77777777" w:rsidR="00326CA4" w:rsidRDefault="00326CA4"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28FC"/>
    <w:rsid w:val="000F7C18"/>
    <w:rsid w:val="0010005A"/>
    <w:rsid w:val="0010220B"/>
    <w:rsid w:val="00106E79"/>
    <w:rsid w:val="0011190E"/>
    <w:rsid w:val="00121B45"/>
    <w:rsid w:val="001231A3"/>
    <w:rsid w:val="00125031"/>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25686"/>
    <w:rsid w:val="002277A2"/>
    <w:rsid w:val="00233144"/>
    <w:rsid w:val="002348A7"/>
    <w:rsid w:val="002350AD"/>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3980"/>
    <w:rsid w:val="002E7DF4"/>
    <w:rsid w:val="002F29FA"/>
    <w:rsid w:val="002F52C7"/>
    <w:rsid w:val="002F62A7"/>
    <w:rsid w:val="002F74A7"/>
    <w:rsid w:val="002F7925"/>
    <w:rsid w:val="0030417C"/>
    <w:rsid w:val="00305DBF"/>
    <w:rsid w:val="00307687"/>
    <w:rsid w:val="0031548E"/>
    <w:rsid w:val="00326CA4"/>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0501"/>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501C6F"/>
    <w:rsid w:val="0051696C"/>
    <w:rsid w:val="00520247"/>
    <w:rsid w:val="00531683"/>
    <w:rsid w:val="00531952"/>
    <w:rsid w:val="005467F9"/>
    <w:rsid w:val="00546DF8"/>
    <w:rsid w:val="00561E42"/>
    <w:rsid w:val="005676C9"/>
    <w:rsid w:val="00571274"/>
    <w:rsid w:val="005730E0"/>
    <w:rsid w:val="0059261E"/>
    <w:rsid w:val="005961E9"/>
    <w:rsid w:val="005963C3"/>
    <w:rsid w:val="005A2AE9"/>
    <w:rsid w:val="005A3F8C"/>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1DF"/>
    <w:rsid w:val="00700337"/>
    <w:rsid w:val="0070100E"/>
    <w:rsid w:val="00702C6D"/>
    <w:rsid w:val="00712020"/>
    <w:rsid w:val="00714A1E"/>
    <w:rsid w:val="00716921"/>
    <w:rsid w:val="007171BA"/>
    <w:rsid w:val="0072675F"/>
    <w:rsid w:val="00732CCD"/>
    <w:rsid w:val="0073338A"/>
    <w:rsid w:val="00737792"/>
    <w:rsid w:val="00740B2C"/>
    <w:rsid w:val="00742C9E"/>
    <w:rsid w:val="00743774"/>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4823"/>
    <w:rsid w:val="00975A39"/>
    <w:rsid w:val="009762B7"/>
    <w:rsid w:val="00991E0D"/>
    <w:rsid w:val="00996427"/>
    <w:rsid w:val="009A43C8"/>
    <w:rsid w:val="009A5C05"/>
    <w:rsid w:val="009B6B84"/>
    <w:rsid w:val="009C1573"/>
    <w:rsid w:val="009C6E51"/>
    <w:rsid w:val="009D716C"/>
    <w:rsid w:val="009E40E7"/>
    <w:rsid w:val="009E4F50"/>
    <w:rsid w:val="009F3071"/>
    <w:rsid w:val="009F4BD6"/>
    <w:rsid w:val="009F65E8"/>
    <w:rsid w:val="009F76F7"/>
    <w:rsid w:val="00A016D9"/>
    <w:rsid w:val="00A0297E"/>
    <w:rsid w:val="00A05ACD"/>
    <w:rsid w:val="00A06097"/>
    <w:rsid w:val="00A20941"/>
    <w:rsid w:val="00A24350"/>
    <w:rsid w:val="00A268CE"/>
    <w:rsid w:val="00A42183"/>
    <w:rsid w:val="00A44AD9"/>
    <w:rsid w:val="00A508FD"/>
    <w:rsid w:val="00A5436A"/>
    <w:rsid w:val="00A615A4"/>
    <w:rsid w:val="00A6309C"/>
    <w:rsid w:val="00A630FE"/>
    <w:rsid w:val="00A709C0"/>
    <w:rsid w:val="00AA21CE"/>
    <w:rsid w:val="00AA468F"/>
    <w:rsid w:val="00AA7DFB"/>
    <w:rsid w:val="00AB0CAD"/>
    <w:rsid w:val="00AB4B53"/>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4DBB"/>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4770"/>
    <w:rsid w:val="00CA7CDE"/>
    <w:rsid w:val="00CB0296"/>
    <w:rsid w:val="00CB3F28"/>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399A"/>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1A62"/>
    <w:rsid w:val="00DC5738"/>
    <w:rsid w:val="00DC57D8"/>
    <w:rsid w:val="00DC5A83"/>
    <w:rsid w:val="00DC6B9D"/>
    <w:rsid w:val="00DD2339"/>
    <w:rsid w:val="00DD3D05"/>
    <w:rsid w:val="00DD4673"/>
    <w:rsid w:val="00DD5E3C"/>
    <w:rsid w:val="00DE3441"/>
    <w:rsid w:val="00DE5902"/>
    <w:rsid w:val="00DF10B2"/>
    <w:rsid w:val="00E00EB8"/>
    <w:rsid w:val="00E01B4E"/>
    <w:rsid w:val="00E02766"/>
    <w:rsid w:val="00E04243"/>
    <w:rsid w:val="00E076EC"/>
    <w:rsid w:val="00E1516B"/>
    <w:rsid w:val="00E22E12"/>
    <w:rsid w:val="00E25B9A"/>
    <w:rsid w:val="00E2689E"/>
    <w:rsid w:val="00E26AC3"/>
    <w:rsid w:val="00E26CAC"/>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576C"/>
    <w:rsid w:val="00FB5F0B"/>
    <w:rsid w:val="00FC6BBF"/>
    <w:rsid w:val="00FD30F9"/>
    <w:rsid w:val="00FD642A"/>
    <w:rsid w:val="00FE0C10"/>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38792</Words>
  <Characters>221118</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9</cp:revision>
  <dcterms:created xsi:type="dcterms:W3CDTF">2021-03-24T15:59:00Z</dcterms:created>
  <dcterms:modified xsi:type="dcterms:W3CDTF">2021-03-24T19:09:00Z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http://www.zotero.org/styles/functional-ecology</vt:lpwstr>
  </property>
</Properties>
</file>